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4F6B73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4F6B73" w:rsidRDefault="00687B7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4F6B73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</w:tr>
      <w:tr w:rsidR="004F6B73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4F6B73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4F6B73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4F6B73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</w:tr>
      <w:tr w:rsidR="004F6B73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 w:rsidP="00687B7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0"/>
              </w:rPr>
            </w:pPr>
          </w:p>
        </w:tc>
      </w:tr>
      <w:tr w:rsidR="004F6B73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91233425</w:t>
            </w:r>
          </w:p>
        </w:tc>
      </w:tr>
      <w:tr w:rsidR="004F6B73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0"/>
              </w:rPr>
            </w:pPr>
          </w:p>
        </w:tc>
      </w:tr>
      <w:tr w:rsidR="004F6B73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0"/>
              </w:rPr>
            </w:pPr>
          </w:p>
        </w:tc>
      </w:tr>
      <w:tr w:rsidR="004F6B73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Мурманская область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/>
        </w:tc>
      </w:tr>
      <w:tr w:rsidR="004F6B73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</w:tr>
      <w:tr w:rsidR="004F6B73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(для КСП)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4F6B73" w:rsidRDefault="00687B77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47000000</w:t>
            </w:r>
          </w:p>
        </w:tc>
      </w:tr>
      <w:tr w:rsidR="004F6B73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 w:rsidP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</w:tr>
      <w:tr w:rsidR="004F6B73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4F6B73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</w:tr>
      <w:tr w:rsidR="004F6B73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</w:tr>
    </w:tbl>
    <w:p w:rsidR="004F6B73" w:rsidRDefault="004F6B73">
      <w:pPr>
        <w:rPr>
          <w:vanish/>
        </w:rPr>
      </w:pPr>
    </w:p>
    <w:tbl>
      <w:tblPr>
        <w:tblW w:w="14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7"/>
        <w:gridCol w:w="266"/>
        <w:gridCol w:w="1500"/>
        <w:gridCol w:w="2461"/>
      </w:tblGrid>
      <w:tr w:rsidR="004F6B73">
        <w:trPr>
          <w:trHeight w:val="282"/>
        </w:trPr>
        <w:tc>
          <w:tcPr>
            <w:tcW w:w="1039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ind w:hanging="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Организационная структура субъекта бюджетной отчетности.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F6B73">
        <w:trPr>
          <w:trHeight w:val="282"/>
        </w:trPr>
        <w:tc>
          <w:tcPr>
            <w:tcW w:w="1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</w:tbl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Годовая бюджетная отчетность областного бюджета Мурманской области  по состоянию на 1 января 2026 года составлена в соответствии с требованиями Инструкции о порядке составления и представления годовой, квартальной и месячной отчетности об исполнении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191н), с учетом требований совместных писем Министерства финансов Российской Федерации и Федеральног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Казначейства  от 23.01.2026 № 02-07-08/4300, № 07-04-05/02-1416 «О дополнительных критериях по раскрытию информации при составлении и представлению годовой консолидированной бюджетной отчетности, годовой консолидированной бухгалтерской отчетности государ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ственных бюджетных и автономных учреждений главными администраторами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федерального бюджета за 2025 год», от 23.01.2026 № 02-07-08/4301, № 07-04-05/02-1418 «О дополнительных критериях по раскрытию информации при составлении и представлении годовой 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джетной отчетности, годовой консолидированной бухгалтерской отчетности государственных (муниципальных) бюджетных и автономных учреждений финансовыми органами субъектов Российской федерации и органами управления государственными внебюджетными фондами Россий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Федерации за 2025 год».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финансов Мурманской области (далее – Министерство) является исполнительным органом Мурманской области, осуществляющим функции по формированию и реализации государственной политики Мурманской области, а также нормат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ивно-правовому регулированию в бюджетно-финансовой сфере, функции внутреннего государственного финансового контроля, а также функции финансового органа Мурманской области в соответствии с законодательством Российской Федерации.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осуществляет 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 деятельность во взаимодействии с федеральными органами исполнительной власти, органами государственной власти Мурманской области, органами местного самоуправления, общественными объединениями и иными организациями.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Бюджетная отчетность Мурманской област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 соответствии с пунктом 2 статьи 41 главы 5 Закон Мурманской области от 11.12.2007 № 919-01-ЗМО «О бюджетном процессе в Мурманской области» составляется финансовым органом Мурманской области (Министерством) на основании бюджетной отчетности главных адми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нистраторов средств областного бюджета.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является юридическим лицом, имеет гербовую печать, иные печати, штампы и бланки установленного образца и счета, открываемые в соответствии с законодательством Российской Федерации.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 нахождения 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терства: 183038, г. Мурманск, пр. Кольский, д. 1.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Реквизиты: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ОКПО 27942931 ОКОПФ 75204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ОГРН 1025100863160 ОКТМО 47000000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ИНН 5191501950 / КПП 519001001 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ОКВЭД 84.11.21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ТОГС 51                </w:t>
      </w:r>
    </w:p>
    <w:p w:rsidR="004F6B73" w:rsidRDefault="00687B77">
      <w:pPr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Казначейский счет № 03100643000000014900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Банк плательщика (получ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ателя): ОТДЕЛЕНИЕ МУРМАНСК//УФК по Мурманской области, г Мурманск 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Единый казначейский счет № 40102810745370000041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БИК 014705901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Получатель: УФК по Мурманской области, (Министерство финансов Казначейский счет, л/сч 01492001070)</w:t>
      </w:r>
    </w:p>
    <w:p w:rsidR="004F6B73" w:rsidRDefault="00687B77">
      <w:pPr>
        <w:numPr>
          <w:ilvl w:val="0"/>
          <w:numId w:val="2"/>
        </w:numPr>
        <w:ind w:left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Казначейский счет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03221643470000004900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Банк плательщика (получателя): ОТДЕЛЕНИЕ МУРМАНСК//УФК по Мурманской области, г. Мурманск 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Единый казначейский счет № 40102810745370000041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БИК 014705901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Плательщик (получатель): Министерство финансов Мурманской области, (Министерство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инансов Мурманской области, л/сч 03492001070)</w:t>
      </w:r>
    </w:p>
    <w:p w:rsidR="004F6B73" w:rsidRDefault="00687B77">
      <w:pPr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Казначейский счет № 03221643470000004900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Банк плательщика (получателя): ОТДЕЛЕНИЕ МУРМАНСК//УФК по Мурманской области, г. Мурманск 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Единый казначейский счет № 40102810745370000041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БИК 014705901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Плательщик (полу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чатель): Министерство финансов Мурманской области, (Министерство финансов Мурманской области, л/сч 08492001070)</w:t>
      </w:r>
    </w:p>
    <w:p w:rsidR="004F6B73" w:rsidRDefault="00687B77">
      <w:pPr>
        <w:numPr>
          <w:ilvl w:val="0"/>
          <w:numId w:val="4"/>
        </w:numPr>
        <w:ind w:left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Казначейский счет № 03222643470000004900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Банк плательщика (получателя): ОТДЕЛЕНИЕ МУРМАНСК//УФК по Мурманской области, г. Мурманск 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Единый казна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чейский счет № 40102810745370000041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БИК 014705901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Плательщик (получатель): Министерство финансов Мурманской области, (Министерство финансов Мурманской области, л/сч 05492001070)</w:t>
      </w:r>
    </w:p>
    <w:p w:rsidR="004F6B73" w:rsidRDefault="00687B77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Годовая бюджетная отчетность об исполнении областного бюджета составлена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 показателей, представленных в Министерство главными распорядителями средств областного бюджета, главными администраторами доходов областного бюджета, главными администраторами источников финансирования дефицита областного бюджета, федеральных 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анов исполнительной власти, их подведомственных территориальных управлений, осуществляющих полномочия главных администраторов доходов бюджетов в отношении доходов, содержащих код элемента бюджета «02» путем суммирования одноименных показателей по строкам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исключения взаимосвязанных показателей по идентичным счетам бюджетного учета.</w:t>
      </w:r>
    </w:p>
    <w:p w:rsidR="004F6B73" w:rsidRDefault="00687B77">
      <w:pPr>
        <w:numPr>
          <w:ilvl w:val="1"/>
          <w:numId w:val="5"/>
        </w:numPr>
        <w:ind w:left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1 января 2026 года в субъекте Мурманской области в состав участников бюджетного процесса (органы власти и их территориальные органы) входят: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Главные распорядители бюджетных с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 количестве 32, в том числе исполнительные органы государственной власти Мурманской области: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 Мурманской области</w:t>
      </w:r>
    </w:p>
    <w:p w:rsidR="004F6B73" w:rsidRDefault="00687B77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Министерства: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Аппарат Правительства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внутренней политики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 жилищного и строительного надзора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градостроительства и благоустройства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здравоохранения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имущественных отношений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информационной политики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культуры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образования и науки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природных ресурсов и экологии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развития Арктики и экономики Мурманской облас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региональной безопасности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спорта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строительства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транспорта и дорожного хозяйства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труда и социального развития Мур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финансов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цифрового развития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энергетики и жилищно-коммунального хозяйства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юстиции Мурманской области</w:t>
      </w:r>
    </w:p>
    <w:p w:rsidR="004F6B73" w:rsidRDefault="00687B77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Комитеты: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Комитет государственн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и финансового контроля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Комитет молодежной политики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Комитет по ветеринарии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Комитет по конкурентной политике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Комитет по тарифному регулированию Мурманской области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Комитет по туризму Мурманской области </w:t>
      </w:r>
    </w:p>
    <w:p w:rsidR="004F6B73" w:rsidRDefault="00687B77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Управления:</w:t>
      </w:r>
    </w:p>
    <w:p w:rsidR="004F6B73" w:rsidRDefault="00687B77">
      <w:pPr>
        <w:rPr>
          <w:color w:val="000000"/>
        </w:rPr>
      </w:pPr>
      <w:hyperlink r:id="rId5" w:tgtFrame="_blank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</w:rPr>
          <w:t>Управление по реализации антикоррупционной политики Мурманской области</w:t>
        </w:r>
      </w:hyperlink>
    </w:p>
    <w:p w:rsidR="004F6B73" w:rsidRDefault="00687B77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Законодательный (представительный) орган: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Мурманская областная Дума.</w:t>
      </w:r>
    </w:p>
    <w:p w:rsidR="004F6B73" w:rsidRDefault="00687B77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Орган финансового контроля:</w:t>
      </w:r>
    </w:p>
    <w:p w:rsidR="004F6B73" w:rsidRDefault="00687B77">
      <w:pPr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Счетная палата Мурманской области.</w:t>
      </w:r>
    </w:p>
    <w:p w:rsidR="004F6B73" w:rsidRDefault="00687B77">
      <w:pPr>
        <w:ind w:left="560" w:firstLine="70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Избирательная комиссия Мурманской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</w:p>
    <w:p w:rsidR="004F6B73" w:rsidRDefault="00687B77">
      <w:pPr>
        <w:ind w:left="440" w:firstLine="700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4F6B73" w:rsidRDefault="00687B77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Государственные учреждения – в количеств 113 учреждений:</w:t>
      </w:r>
    </w:p>
    <w:p w:rsidR="004F6B73" w:rsidRDefault="00687B77">
      <w:pPr>
        <w:ind w:firstLine="1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казенные учреждения - количество 16</w:t>
      </w:r>
    </w:p>
    <w:p w:rsidR="004F6B73" w:rsidRDefault="00687B77">
      <w:pPr>
        <w:ind w:firstLine="1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бюджетные учреждения - количество 46</w:t>
      </w:r>
    </w:p>
    <w:p w:rsidR="004F6B73" w:rsidRDefault="00687B77">
      <w:pPr>
        <w:ind w:firstLine="1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тономные учреждения – количество 51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казенных учреждений уменьшилось на 7 учреждений в целях совершенствования системы государственных казенных учреждений – реорганизованы государственные областные учреждения  - центров социальной поддержки насел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 Мурманской области соответствии с приказом Министерства труда и социального развития Мурманской области от 18.11.2024 № 791 "О реорганизации государственных областных казенных учреждений - центров социальной поддержки населения Мурманской области",  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аспоряжения Правительства Мурманской области от 11.12.2024 № 389-РП "О создании государственного областного казенного учреждения "Центр занятости населения Мурманской области", приказа Министерства культуры Мурманской области от 27.12.2024 № 320 «О реорган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изации государственного областного казенного учреждения "Государственный архив Мурманской области" в форме присоединения к нему государственного областного казенного учреждения "Государственный архив Мурманской области в г. Кировске".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бюджетных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автономных учреждений уменьшилось на 27 учреждений на основании: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приказа Министерства труда и социального развития Мурманской области" от 18.11.2024 № 755 "О реорганизации ГОБУСОН "Мурманский центр социальной помощи семье и детям" и ГОБУСОН "Социальный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приют для детей и подростков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Берегиня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Кольского района";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приказа Министерства труда и социального развития Мурманской области" от 18.11.2024 № 758 "О реорганизации ГОАУСОН "Кандалакшский КЦСОН", ГОАУСОН "Терский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КЦСОН"и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ГОАУСОН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Полярнозоринский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КЦСОН";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приказа Министерства труда и социального развития Мурманской области" от 18.11.2024 № 759 "О реорганизации ГОАУСОН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Мончегорский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КЦСОН", ГОАУСОН "Ловозерский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КЦСОН"и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ГОАУСОН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Оленегорский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КЦСОН";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приказа Министерства труда и социального развития Мурманской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области" от 18.11.2024 № 760 "О реорганизации ГОАУСОН "Мурманский КЦСОН", ГОАУСОН "Кольский КЦСОН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приказа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Министерства труда и социального развития Мурманской области" от 18.11.2024 № 757 "О реорганизации ГОАУСОН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Апатитский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психоневрологический интерна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№ 1" и ГОАУСОН "Кировский психоневрологический интернат";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приказа Министерства труда и социального развития Мурманской области" от 18.11.2024 № 756 "О реорганизации ГОАУСОН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Апатитский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КЦСОН" и ГОАУСОН "Кировский КЦСОН".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Государственные унитарные предпри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ятия – количество 7. Изменения по сравнению с предыдущем отчетным годом на 2 учреждение произошли на основании: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распоряжения Правительства Мурманской области от 18.04.2025 №153-РП "О приеме в государственную собственность Мурманской области 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унитарного предприятия "Водоканал-Ревда" муниципального образования городское поселение Ревда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Ловозерского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района";                                                                                                                                 распоряжения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Правительства Мурманской области от 28.04.2025 №166-РП "О приеме в государственную собственность Мурманской области муниципального унитарного предприятия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Североморскводоканал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ЗАТО Североморск"; 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- распоряжения Правительства Мурманской области от 13.02.2025 №4-РП "О приеме в государственную собственность Мурманской облас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муниципального унитарного предприятия "Сети Никеля"; 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приказ министерства имущественных отношений Мурманской области от 03.09.2025 № 732 "Об условиях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приватизации имущественного комп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лекса государственного областного унитарного предприятия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Апатитская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электросетевая компания".                                                                         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Государственные (муниципальные) унитарные предприятия: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ГОУCП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Тулома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ГОУП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Кандалакшаводоканал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ГОУП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Мурманскводоканал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ГОУП «Универсальный спортивно-досуговый центр»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ГОУП «Водоканал-Ревда»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ГОУП «Сети Никеля»</w:t>
      </w:r>
    </w:p>
    <w:p w:rsidR="004F6B73" w:rsidRDefault="00687B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ГОУП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Североморскодоканал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4F6B73" w:rsidRDefault="00687B77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>
        <w:rPr>
          <w:rFonts w:ascii="Calibri" w:eastAsia="Calibri" w:hAnsi="Calibri" w:cs="Calibri"/>
          <w:color w:val="000000"/>
        </w:rPr>
        <w:t> </w:t>
      </w:r>
    </w:p>
    <w:p w:rsidR="004F6B73" w:rsidRDefault="00687B77">
      <w:pPr>
        <w:ind w:firstLine="4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2.  Результаты деятельности субъекта бюджетной отчетности.</w:t>
      </w:r>
    </w:p>
    <w:p w:rsidR="004F6B73" w:rsidRDefault="00687B77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2025 год исполнен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областного бюджета характеризуется следующими данными:</w:t>
      </w:r>
    </w:p>
    <w:p w:rsidR="004F6B73" w:rsidRDefault="00687B77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основных характеристик областного бюджета за 2025 год</w:t>
      </w:r>
    </w:p>
    <w:p w:rsidR="004F6B73" w:rsidRDefault="00687B77">
      <w:pPr>
        <w:ind w:firstLine="70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млн. рублей</w:t>
      </w:r>
    </w:p>
    <w:tbl>
      <w:tblPr>
        <w:tblW w:w="13470" w:type="dxa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1556"/>
        <w:gridCol w:w="1985"/>
        <w:gridCol w:w="1419"/>
        <w:gridCol w:w="1560"/>
        <w:gridCol w:w="1702"/>
        <w:gridCol w:w="1984"/>
      </w:tblGrid>
      <w:tr w:rsidR="004F6B73">
        <w:trPr>
          <w:trHeight w:val="300"/>
          <w:jc w:val="center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показателей</w:t>
            </w:r>
          </w:p>
        </w:tc>
        <w:tc>
          <w:tcPr>
            <w:tcW w:w="15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Исполнение за 2024 год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Утвержденные бюджетные назначения 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за 2025 год 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 исполнения за 2025 год (%)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Исполнение к утвержденным бюджетным 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2025 год</w:t>
            </w:r>
          </w:p>
        </w:tc>
        <w:tc>
          <w:tcPr>
            <w:tcW w:w="19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Отношение исполнения 2025 года к исполнению за 2024 год</w:t>
            </w:r>
          </w:p>
        </w:tc>
      </w:tr>
      <w:tr w:rsidR="004F6B73">
        <w:trPr>
          <w:trHeight w:val="300"/>
          <w:jc w:val="center"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Доходы</w:t>
            </w:r>
          </w:p>
        </w:tc>
        <w:tc>
          <w:tcPr>
            <w:tcW w:w="15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121 327,6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124 754,6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125 880,4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+ 1 125,8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4 552,8</w:t>
            </w:r>
          </w:p>
        </w:tc>
      </w:tr>
      <w:tr w:rsidR="004F6B73">
        <w:trPr>
          <w:trHeight w:val="300"/>
          <w:jc w:val="center"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</w:t>
            </w:r>
          </w:p>
        </w:tc>
        <w:tc>
          <w:tcPr>
            <w:tcW w:w="15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154 332,4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163 063,9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150 719,1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- 12 344,8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- 3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613,3</w:t>
            </w:r>
          </w:p>
        </w:tc>
      </w:tr>
      <w:tr w:rsidR="004F6B73">
        <w:trPr>
          <w:trHeight w:val="510"/>
          <w:jc w:val="center"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Дефицит (-) профицит (+)</w:t>
            </w:r>
          </w:p>
        </w:tc>
        <w:tc>
          <w:tcPr>
            <w:tcW w:w="15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- 33 004,8</w:t>
            </w: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- 26 992,3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- 24 838,7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</w:tbl>
    <w:p w:rsidR="004F6B73" w:rsidRDefault="00687B77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p w:rsidR="004F6B73" w:rsidRDefault="00687B77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2025 год исполнение областного бюджета характеризуется следующими данными:</w:t>
      </w:r>
    </w:p>
    <w:p w:rsidR="004F6B73" w:rsidRDefault="00687B77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Доходная 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бюджета исполнена в объеме 125 880,4 млн рублей (101 % от плана, со увеличением на 1 125,8 млн рублей), в том числе по налоговым и неналоговым доходам – 98 628,6 млн рублей (96,6% от плана, со снижением на 3 484,1 млн рублей).</w:t>
      </w:r>
    </w:p>
    <w:p w:rsidR="004F6B73" w:rsidRDefault="00687B77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Расходы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исполнены в объеме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50 719,1 млн рублей,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на 2,3 % (3 613,3 млн рублей) меньше аналогичного показателя 2024 года. При этом, обеспечили исполнение всех ключевых обязательств, в том числе по нацпроектам,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реновации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ЗАТО, зарплате и социальным расходам.</w:t>
      </w:r>
    </w:p>
    <w:p w:rsidR="004F6B73" w:rsidRDefault="00687B77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Дефицит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24 838,7 млн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 (25 % к налоговым и неналоговым доходам), с учетом корректировки на сумму изменения остатков средств на счете бюджета, бюджетных ассигнований на финансовое обеспечение реализации инфраструктурных проектов за счет средств инфраструктурных бюджетных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редитов (далее – ИБК), расходов на поддержку СВО и Приморск (2 283,3 млн. рублей), дефицит бюджета – 19 425,6 млн рублей (20 % от налоговых и неналоговых доходов).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Исполнение доходов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2025 года в сравнении с предыдущим годом характеризуется следующими 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ными: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ind w:firstLine="46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млн 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12900" w:type="dxa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3"/>
        <w:gridCol w:w="1525"/>
        <w:gridCol w:w="1622"/>
        <w:gridCol w:w="1560"/>
        <w:gridCol w:w="1589"/>
        <w:gridCol w:w="1701"/>
      </w:tblGrid>
      <w:tr w:rsidR="004F6B73">
        <w:trPr>
          <w:trHeight w:val="60"/>
          <w:jc w:val="center"/>
        </w:trPr>
        <w:tc>
          <w:tcPr>
            <w:tcW w:w="49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доходов</w:t>
            </w:r>
          </w:p>
        </w:tc>
        <w:tc>
          <w:tcPr>
            <w:tcW w:w="153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Исполнено за 2024 год</w:t>
            </w:r>
          </w:p>
        </w:tc>
        <w:tc>
          <w:tcPr>
            <w:tcW w:w="4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Рост (+) (снижение (-)) по сравнению с 2024 </w:t>
            </w:r>
          </w:p>
        </w:tc>
      </w:tr>
      <w:tr w:rsidR="004F6B73">
        <w:trPr>
          <w:trHeight w:val="727"/>
          <w:jc w:val="center"/>
        </w:trPr>
        <w:tc>
          <w:tcPr>
            <w:tcW w:w="49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4F6B73">
            <w:pPr>
              <w:rPr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Утвержденные бюджетные назначения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Исполнено</w:t>
            </w:r>
          </w:p>
        </w:tc>
        <w:tc>
          <w:tcPr>
            <w:tcW w:w="15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 исполнения от утвержденных бюджетных назначений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4F6B73">
            <w:pPr>
              <w:shd w:val="clear" w:color="auto" w:fill="FFFFFF"/>
              <w:rPr>
                <w:color w:val="000000"/>
                <w:sz w:val="24"/>
                <w:shd w:val="clear" w:color="auto" w:fill="FFFFFF"/>
              </w:rPr>
            </w:pPr>
          </w:p>
        </w:tc>
      </w:tr>
      <w:tr w:rsidR="004F6B73">
        <w:trPr>
          <w:trHeight w:val="396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95 133,3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102 112,7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98 628,6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96,6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+ 3 495,3</w:t>
            </w:r>
          </w:p>
        </w:tc>
      </w:tr>
      <w:tr w:rsidR="004F6B73">
        <w:trPr>
          <w:trHeight w:val="335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Налоговые доходы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93 698,5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100 680,5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96 649,1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+ 2 950,6</w:t>
            </w:r>
          </w:p>
        </w:tc>
      </w:tr>
      <w:tr w:rsidR="004F6B73">
        <w:trPr>
          <w:trHeight w:val="258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Налоги на прибыль, доходы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75 037,9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77 735,2</w:t>
            </w:r>
          </w:p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73 405,2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- 1 632,7</w:t>
            </w:r>
          </w:p>
        </w:tc>
      </w:tr>
      <w:tr w:rsidR="004F6B73">
        <w:trPr>
          <w:trHeight w:val="722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Налоги на товары (работы, услуги), реализуемые на территории РФ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5 331,8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5 142,7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4 860,1 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- 471,7</w:t>
            </w:r>
          </w:p>
        </w:tc>
      </w:tr>
      <w:tr w:rsidR="004F6B73">
        <w:trPr>
          <w:trHeight w:val="258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Налоги на совокупный доход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143,7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5 267,3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4 083,3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+ 3 939,6</w:t>
            </w:r>
          </w:p>
        </w:tc>
      </w:tr>
      <w:tr w:rsidR="004F6B73">
        <w:trPr>
          <w:trHeight w:val="258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6 697,4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5 951,4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9 222,5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+ 2 525,1</w:t>
            </w:r>
          </w:p>
        </w:tc>
      </w:tr>
      <w:tr w:rsidR="004F6B73">
        <w:trPr>
          <w:trHeight w:val="517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6 401 ,3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6 520,60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4 985,2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1 416,1</w:t>
            </w:r>
          </w:p>
        </w:tc>
      </w:tr>
      <w:tr w:rsidR="004F6B73">
        <w:trPr>
          <w:trHeight w:val="352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86,4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92,8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+ 6,4</w:t>
            </w:r>
          </w:p>
        </w:tc>
      </w:tr>
      <w:tr w:rsidR="004F6B73">
        <w:trPr>
          <w:trHeight w:val="481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Неналоговые доходы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1 434,8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1 432,2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1 979,5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138,2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+ 1 296,6</w:t>
            </w:r>
          </w:p>
        </w:tc>
      </w:tr>
      <w:tr w:rsidR="004F6B73">
        <w:trPr>
          <w:trHeight w:val="493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Доходы от использования имущества, находящегося в государственной и муниципальной собственности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150,9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399,9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126,0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- 24,9</w:t>
            </w:r>
          </w:p>
        </w:tc>
      </w:tr>
      <w:tr w:rsidR="004F6B73">
        <w:trPr>
          <w:trHeight w:val="517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Платежи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 пользовании природными ресурсами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173,2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169,0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- 4,2</w:t>
            </w:r>
          </w:p>
        </w:tc>
      </w:tr>
      <w:tr w:rsidR="004F6B73">
        <w:trPr>
          <w:trHeight w:val="517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187,9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515,7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597,3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+ 327,8</w:t>
            </w:r>
          </w:p>
        </w:tc>
      </w:tr>
      <w:tr w:rsidR="004F6B73">
        <w:trPr>
          <w:trHeight w:val="517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2,9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+ 0,2</w:t>
            </w:r>
          </w:p>
        </w:tc>
      </w:tr>
      <w:tr w:rsidR="004F6B73">
        <w:trPr>
          <w:trHeight w:val="258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Административные платежи и сборы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- 0,1</w:t>
            </w:r>
          </w:p>
        </w:tc>
      </w:tr>
      <w:tr w:rsidR="004F6B73">
        <w:trPr>
          <w:trHeight w:val="357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Штрафы, санкции, возмещение ущерба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875,0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1 109,4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+ 234,4</w:t>
            </w:r>
          </w:p>
        </w:tc>
      </w:tr>
      <w:tr w:rsidR="004F6B73">
        <w:trPr>
          <w:trHeight w:val="258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46,7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58,2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+ 11,4</w:t>
            </w:r>
          </w:p>
        </w:tc>
      </w:tr>
      <w:tr w:rsidR="004F6B73">
        <w:trPr>
          <w:trHeight w:val="258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Безвозмездные поступления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26 194,3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22 641,9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27 251,8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120,3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+ 1 057,5</w:t>
            </w:r>
          </w:p>
        </w:tc>
      </w:tr>
      <w:tr w:rsidR="004F6B73">
        <w:trPr>
          <w:trHeight w:val="517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РФ,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24 593,1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22 179,2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27 118,1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122,3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+ 2 525,0</w:t>
            </w:r>
          </w:p>
        </w:tc>
      </w:tr>
      <w:tr w:rsidR="004F6B73">
        <w:trPr>
          <w:trHeight w:val="258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F6B73">
        <w:trPr>
          <w:trHeight w:val="258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1 898,1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5 379,1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5 546,1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+ 3 648,0</w:t>
            </w:r>
          </w:p>
        </w:tc>
      </w:tr>
      <w:tr w:rsidR="004F6B73">
        <w:trPr>
          <w:trHeight w:val="258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19 966,3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13 782,9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18 240,3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132,3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- 1 726,0</w:t>
            </w:r>
          </w:p>
        </w:tc>
      </w:tr>
      <w:tr w:rsidR="004F6B73">
        <w:trPr>
          <w:trHeight w:val="170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1 460,6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1 703,2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1 673,0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+ 212,4</w:t>
            </w:r>
          </w:p>
        </w:tc>
      </w:tr>
      <w:tr w:rsidR="004F6B73">
        <w:trPr>
          <w:trHeight w:val="258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1 267,7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1 314,0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1 658,7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126,2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+ 391,0</w:t>
            </w:r>
          </w:p>
        </w:tc>
      </w:tr>
      <w:tr w:rsidR="004F6B73">
        <w:trPr>
          <w:trHeight w:val="789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1 147,0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86,6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- 1 060,4</w:t>
            </w:r>
          </w:p>
        </w:tc>
      </w:tr>
      <w:tr w:rsidR="004F6B73">
        <w:trPr>
          <w:trHeight w:val="582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  Безвозмездные поступления от негосударственных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организаций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49,7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- 45,7</w:t>
            </w:r>
          </w:p>
        </w:tc>
      </w:tr>
      <w:tr w:rsidR="004F6B73">
        <w:trPr>
          <w:trHeight w:val="493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Прочие безвозмездные поступления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</w:t>
            </w:r>
          </w:p>
        </w:tc>
      </w:tr>
      <w:tr w:rsidR="004F6B73">
        <w:trPr>
          <w:trHeight w:val="493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561,5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422,7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- 138,8</w:t>
            </w:r>
          </w:p>
        </w:tc>
      </w:tr>
      <w:tr w:rsidR="004F6B73">
        <w:trPr>
          <w:trHeight w:val="946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- 157,0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-379,6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- 222,6</w:t>
            </w:r>
          </w:p>
        </w:tc>
      </w:tr>
      <w:tr w:rsidR="004F6B73">
        <w:trPr>
          <w:trHeight w:val="575"/>
          <w:jc w:val="center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Доходы, всего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121 327,6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124 754,6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125 880,4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+ 1 125,8</w:t>
            </w:r>
          </w:p>
        </w:tc>
      </w:tr>
    </w:tbl>
    <w:p w:rsidR="004F6B73" w:rsidRDefault="00687B77">
      <w:pPr>
        <w:ind w:firstLine="540"/>
        <w:jc w:val="right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Областной бюджет в 2025 году исполнен по доходам 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125 880,4 млн. рублей, что на 1% больше объёма, утверждённого законом об областном бюджете (на 1 125,8 млн рублей). </w:t>
      </w:r>
    </w:p>
    <w:p w:rsidR="004F6B73" w:rsidRDefault="00687B77">
      <w:pPr>
        <w:ind w:firstLine="54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2025 году основными источниками доходной части бюджета являлись налоговые и неналоговые поступления, которые по результатам исполнения составили 98 628,6 млн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рублей, или 78,4 % в общем объёме доходов областного бюджета.</w:t>
      </w:r>
    </w:p>
    <w:p w:rsidR="004F6B73" w:rsidRDefault="00687B77">
      <w:pPr>
        <w:ind w:firstLine="70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2025 году, как и в предыдущие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ды, основную долю налоговых поступлений формировали два источника доходов бюджета – это налог на прибыль организаций (30 244,5 млн рублей) и налог на доходы физических лиц (43 160,7 млн рублей), совокупная доля которых в налоговых и неналоговых доходах сос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тавляет – 74,4 %.</w:t>
      </w:r>
    </w:p>
    <w:p w:rsidR="004F6B73" w:rsidRDefault="00687B77">
      <w:pPr>
        <w:ind w:firstLine="70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Основная причина неисполнения утвержденного плана по доходам связана прежде всего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непоступлением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налога на прибыль организаций.</w:t>
      </w:r>
    </w:p>
    <w:p w:rsidR="004F6B73" w:rsidRDefault="00687B77">
      <w:pPr>
        <w:ind w:firstLine="70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2025 году поступления доходов от указанного налога составило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br/>
        <w:t>30 244,5 млн рублей или 84,3% от утвержденны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 назначений (план – 35 889,4 млн рублей), снижение по сравнению с 2024 годом на 3 823,2 млн рублей, в основном в связи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уменьшением поступления налога от бывших КГН на 6 564, 9 млн рублей (или в 1,9 раза) при одновременном увеличении поступления налога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крупных плательщиков региона на 1 604,1 млн рублей.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Поступления налога на доходы физических лиц в 2025 году составили 43 160,8 млн рублей или 103,1% плановых назначений (план – 41 845,8 млн рублей), по сравнению с 2024 годом рост на 2 190,6 млн. рублей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на 5,4%. Рост поступлений по налогу обусловлен ростом МРОТ с 01.01.2025 на 16.6%, а также увеличением налога по ВЭД "Государственное управление и обеспечение военной безопасности", "Рыболовство, рыболовство", "Обрабатывающее производство", при одновреме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 снижении поступлений по ВЭД "Строительство" более чем в 2 раза.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поступления по налогу на имущество организаций исполнены в сумме 8 172,3 млн рублей и составили 165,2 % от плановых назначений (план – 4948 млн рублей) с ростом к 2024 году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2 572,8 млн рублей или на 46%. Значительный рост обеспечен перечислением налога одним из крупнейших плательщиков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ранее установленного срока в сумме 2 500,0 млн рублей.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ind w:firstLine="4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4F6B73" w:rsidRDefault="00687B77">
      <w:pPr>
        <w:ind w:firstLine="4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Исполнение расходов областного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сравнении с предыдущим годом характеризуе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 следующими данными:</w:t>
      </w:r>
    </w:p>
    <w:p w:rsidR="004F6B73" w:rsidRDefault="00687B77">
      <w:pPr>
        <w:ind w:firstLine="70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млн рублей </w:t>
      </w:r>
    </w:p>
    <w:tbl>
      <w:tblPr>
        <w:tblW w:w="1285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6"/>
        <w:gridCol w:w="1373"/>
        <w:gridCol w:w="1501"/>
        <w:gridCol w:w="1360"/>
        <w:gridCol w:w="1590"/>
        <w:gridCol w:w="1365"/>
      </w:tblGrid>
      <w:tr w:rsidR="004F6B73">
        <w:trPr>
          <w:trHeight w:val="300"/>
        </w:trPr>
        <w:tc>
          <w:tcPr>
            <w:tcW w:w="5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Исполнение за 2024 год</w:t>
            </w:r>
          </w:p>
        </w:tc>
        <w:tc>
          <w:tcPr>
            <w:tcW w:w="44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3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Рост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+)/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снижение (-) по сравнению с 2024 годом</w:t>
            </w:r>
          </w:p>
        </w:tc>
      </w:tr>
      <w:tr w:rsidR="004F6B73">
        <w:trPr>
          <w:trHeight w:val="1200"/>
        </w:trPr>
        <w:tc>
          <w:tcPr>
            <w:tcW w:w="5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Утверждено бюджетных ассигнований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Исполнение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 исполнения от утвержденных бюджетных ассигнования</w:t>
            </w:r>
          </w:p>
        </w:tc>
        <w:tc>
          <w:tcPr>
            <w:tcW w:w="13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4F6B73">
            <w:pPr>
              <w:rPr>
                <w:color w:val="000000"/>
                <w:sz w:val="24"/>
              </w:rPr>
            </w:pPr>
          </w:p>
        </w:tc>
      </w:tr>
      <w:tr w:rsidR="004F6B73">
        <w:trPr>
          <w:trHeight w:val="285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Расходы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154 332,4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163 063,9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150 719,1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92 %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- 3 613,3</w:t>
            </w:r>
          </w:p>
        </w:tc>
      </w:tr>
      <w:tr w:rsidR="004F6B73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5 249,8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4 787,3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4 645,8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- 604,0</w:t>
            </w:r>
          </w:p>
        </w:tc>
      </w:tr>
      <w:tr w:rsidR="004F6B73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145,3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255,3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240,8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+ 95,5</w:t>
            </w:r>
          </w:p>
        </w:tc>
      </w:tr>
      <w:tr w:rsidR="004F6B73">
        <w:trPr>
          <w:trHeight w:val="585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2 569,1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2 697,6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2 604,3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+ 35,2</w:t>
            </w:r>
          </w:p>
        </w:tc>
      </w:tr>
      <w:tr w:rsidR="004F6B73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32 463,6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37 377,2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27 641,2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74 %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- 4 822,4</w:t>
            </w:r>
          </w:p>
        </w:tc>
      </w:tr>
      <w:tr w:rsidR="004F6B73">
        <w:trPr>
          <w:trHeight w:val="272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17 958,3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14 370,2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13 401,7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93 %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- 4 556,6</w:t>
            </w:r>
          </w:p>
        </w:tc>
      </w:tr>
      <w:tr w:rsidR="004F6B73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299,8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778,1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760,0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+ 460,2</w:t>
            </w:r>
          </w:p>
        </w:tc>
      </w:tr>
      <w:tr w:rsidR="004F6B73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ОБРАЗОВАНИЕ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31 151,3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32 368,5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32 229,2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99 %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+ </w:t>
            </w:r>
            <w:r>
              <w:rPr>
                <w:rFonts w:ascii="Calibri" w:eastAsia="Calibri" w:hAnsi="Calibri" w:cs="Calibri"/>
                <w:color w:val="000000"/>
              </w:rPr>
              <w:t>1 077,9</w:t>
            </w:r>
          </w:p>
        </w:tc>
      </w:tr>
      <w:tr w:rsidR="004F6B73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3 284,6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2 999,2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2 773,3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- 511,3</w:t>
            </w:r>
          </w:p>
        </w:tc>
      </w:tr>
      <w:tr w:rsidR="004F6B73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13 912,2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15 169,1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14 730,6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97 %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+ 818,4</w:t>
            </w:r>
          </w:p>
        </w:tc>
      </w:tr>
      <w:tr w:rsidR="004F6B73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31 885,3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32 555,5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32 204,8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+ 319,5</w:t>
            </w:r>
          </w:p>
        </w:tc>
      </w:tr>
      <w:tr w:rsidR="004F6B73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3 411,5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3 019,5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2 802,8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93 %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- 608,7</w:t>
            </w:r>
          </w:p>
        </w:tc>
      </w:tr>
      <w:tr w:rsidR="004F6B73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274,7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230,6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228,8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- 45,9</w:t>
            </w:r>
          </w:p>
        </w:tc>
      </w:tr>
      <w:tr w:rsidR="004F6B73">
        <w:trPr>
          <w:trHeight w:val="585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2 049,0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7 380,2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7 380,2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+ 5 331,2</w:t>
            </w:r>
          </w:p>
        </w:tc>
      </w:tr>
      <w:tr w:rsidR="004F6B73">
        <w:trPr>
          <w:trHeight w:val="870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9 678,0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9 075,6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9 075,6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100 %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  602,4</w:t>
            </w:r>
          </w:p>
        </w:tc>
      </w:tr>
    </w:tbl>
    <w:p w:rsidR="004F6B73" w:rsidRDefault="00687B77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областного бюджета по расходам составило 150 719,1 млн рублей, по сравнению с 2024 годом уменьшение расходов составило 3 613,3 млн рублей или 2,3 %.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направления расходов областного бюджета в 2025 году: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расходы по оплате труда и взносам по обязательному социальному страхованию государственных органов и казенных учреждений – 7 715,1 млн. рублей, с увеличением по сравнению с 2024 годом на 454,5 млн. рублей или на 6,3%; 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социальные выплаты гражданам (с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четом предоставления субвенции бюджету Фонда пенсионного и социального страхования Российской Федерации) – 26 947,6 млн рублей, с увеличением расходов по сравнению с 2024 годом на 1 343,5 млн рублей или на 5,2 %. В составе социальных выплат расходы на обяз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ательное медицинское страхование неработающего населения за 2025 год составили 8 118,9 млн рублей, с увеличением к 2024 году на 781,3 млн рублей или на 10,6 %;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расходы на предоставление субсидий бюджетным и автономным учреждениям – 25 657,7 млн. рублей,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увеличением по сравнению с 2024 годом на 422,67 млн. рублей или на 1,7 %; 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расходы на предоставление субсидий некоммерческим организациям (за исключением государственных (муниципальных) учреждений) – 5 814,5 млн рублей. Уменьшение расходов по сравнению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2024 годом составило 2 293,1 млн рублей или на 28,3 % в основном в связи с исполнением мероприятий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планов социального развития центров экономического роста субъектов Российской Федерации Арктической зоны Российской Федерации по другим видам расходов в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025 году;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расходы на предоставление субсидий юридическим лицам (кроме некоммерческих организаций), индивидуальным предпринимателям, физическим лицам - производителям товаров, работ, услуг – 18 690,4 млн. рублей, с уменьшением к 2024 году на 5 118,7 млн.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 или на 21,5 %, что обусловлено выделением в 2024 году средств акционерному обществу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Мурманэнергосбыт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связанных с обеспечением качественного и надежного теплоснабжения в Мурманской области, в форме безвозмездного вклада в денежной форме в имуществ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акционерного общества, единственным акционером которого является Мурманская область, на проектирование, строительство, реконструкцию (модернизацию), капитальный ремонт объектов коммунальной (в сферах теплоснабжения, водоснабжения и водоотведения) инфраст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руктуры, источником финансового обеспечения расходов на реализацию которых являются специальные казначейские кредиты, предоставление субсидии юридическим лицам на финансовое обеспечение затрат, связанных с приобретением (обновлением) подвижного состава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осуществления на территории Мурманской области регулярных перевозок пассажиров и багажа автомобильным транспортом и городским наземным электрическим транспортом по маршрутам регулярных перевозок по регулируемым тарифам.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tbl>
      <w:tblPr>
        <w:tblW w:w="12855" w:type="dxa"/>
        <w:tblInd w:w="11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63"/>
      </w:tblGrid>
      <w:tr w:rsidR="004F6B73">
        <w:trPr>
          <w:trHeight w:val="825"/>
        </w:trPr>
        <w:tc>
          <w:tcPr>
            <w:tcW w:w="1284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4F6B73" w:rsidRDefault="00687B77">
            <w:pPr>
              <w:ind w:firstLine="780"/>
              <w:jc w:val="both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  3.   Анализ отчета об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исполнении бюджета субъектом бюджетной отчетности.</w:t>
            </w:r>
          </w:p>
          <w:p w:rsidR="004F6B73" w:rsidRDefault="00687B77">
            <w:pPr>
              <w:ind w:firstLine="640"/>
              <w:jc w:val="both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составе раздела представлены следующие формы отчетности:</w:t>
            </w:r>
          </w:p>
          <w:p w:rsidR="004F6B73" w:rsidRDefault="00687B77">
            <w:pPr>
              <w:ind w:firstLine="6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Сведения об исполнении текстовых статей закона (решения) о бюджете (Таблица № 3);</w:t>
            </w:r>
          </w:p>
          <w:p w:rsidR="004F6B73" w:rsidRDefault="00687B77">
            <w:pPr>
              <w:ind w:firstLine="6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Сведения об исполнении бюджета (ф.0503164) (далее – Сведения ф.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0503164).</w:t>
            </w:r>
          </w:p>
          <w:p w:rsidR="004F6B73" w:rsidRDefault="00687B77">
            <w:pPr>
              <w:ind w:firstLine="6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связи с отсутствием числовых показателей в составе годовой отчетности отсутствуют формы:</w:t>
            </w:r>
          </w:p>
          <w:p w:rsidR="004F6B73" w:rsidRDefault="00687B77">
            <w:pPr>
              <w:ind w:firstLine="6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Сведения об исполнении мероприятий в рамках целевых программ </w:t>
            </w:r>
            <w:hyperlink r:id="rId6">
              <w:r>
                <w:rPr>
                  <w:rStyle w:val="a4"/>
                  <w:rFonts w:ascii="Times New Roman" w:eastAsia="Times New Roman" w:hAnsi="Times New Roman" w:cs="Times New Roman"/>
                  <w:color w:val="000000"/>
                  <w:sz w:val="28"/>
                  <w:szCs w:val="28"/>
                  <w:u w:val="none"/>
                </w:rPr>
                <w:t>(ф.0503166)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F6B73" w:rsidRDefault="00687B77">
            <w:pPr>
              <w:ind w:firstLine="6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Сведениях о целевых иностранных кредитах </w:t>
            </w:r>
            <w:hyperlink r:id="rId7">
              <w:r>
                <w:rPr>
                  <w:rStyle w:val="a4"/>
                  <w:rFonts w:ascii="Times New Roman" w:eastAsia="Times New Roman" w:hAnsi="Times New Roman" w:cs="Times New Roman"/>
                  <w:color w:val="000000"/>
                  <w:sz w:val="28"/>
                  <w:szCs w:val="28"/>
                  <w:u w:val="none"/>
                </w:rPr>
                <w:t>(ф. 0503167)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4F6B73" w:rsidRDefault="00687B77">
            <w:pPr>
              <w:ind w:firstLine="6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Причины отклонения сумм неисполненных назначений, отраженных с кодом 99 «Иные причины» в графе 8,9 Сведениях об исполнении бюджета (ф.0503164), сформированы на основании показателей представленных главными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администраторами доходов бюджета, главными распорядителями бюджетных средств, главными администраторами источников финансирования дефицита бюджета.</w:t>
            </w:r>
          </w:p>
          <w:p w:rsidR="004F6B73" w:rsidRDefault="00687B77">
            <w:pPr>
              <w:ind w:firstLine="64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уб.коп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tbl>
            <w:tblPr>
              <w:tblW w:w="12840" w:type="dxa"/>
              <w:jc w:val="center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62"/>
              <w:gridCol w:w="791"/>
              <w:gridCol w:w="1481"/>
              <w:gridCol w:w="1252"/>
              <w:gridCol w:w="1320"/>
              <w:gridCol w:w="1210"/>
              <w:gridCol w:w="1561"/>
              <w:gridCol w:w="573"/>
              <w:gridCol w:w="2677"/>
            </w:tblGrid>
            <w:tr w:rsidR="004F6B73">
              <w:trPr>
                <w:trHeight w:val="240"/>
                <w:jc w:val="center"/>
              </w:trPr>
              <w:tc>
                <w:tcPr>
                  <w:tcW w:w="1982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Код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по  бюджетной</w:t>
                  </w:r>
                  <w:proofErr w:type="gramEnd"/>
                </w:p>
              </w:tc>
              <w:tc>
                <w:tcPr>
                  <w:tcW w:w="77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Код строки</w:t>
                  </w:r>
                </w:p>
              </w:tc>
              <w:tc>
                <w:tcPr>
                  <w:tcW w:w="145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Утвержденные бюджетные назначения (прогнозные показатели)</w:t>
                  </w:r>
                </w:p>
              </w:tc>
              <w:tc>
                <w:tcPr>
                  <w:tcW w:w="1233" w:type="dxa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Доведенные</w:t>
                  </w:r>
                </w:p>
              </w:tc>
              <w:tc>
                <w:tcPr>
                  <w:tcW w:w="133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Исполнено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2767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Показатели исполнения </w:t>
                  </w:r>
                </w:p>
              </w:tc>
              <w:tc>
                <w:tcPr>
                  <w:tcW w:w="3282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Причины отклонений от планового процента</w:t>
                  </w:r>
                </w:p>
              </w:tc>
            </w:tr>
            <w:tr w:rsidR="004F6B73">
              <w:trPr>
                <w:trHeight w:val="225"/>
                <w:jc w:val="center"/>
              </w:trPr>
              <w:tc>
                <w:tcPr>
                  <w:tcW w:w="1982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классификации</w:t>
                  </w:r>
                </w:p>
              </w:tc>
              <w:tc>
                <w:tcPr>
                  <w:tcW w:w="779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4F6B73"/>
              </w:tc>
              <w:tc>
                <w:tcPr>
                  <w:tcW w:w="145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4F6B7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бюджетные данные</w:t>
                  </w:r>
                </w:p>
              </w:tc>
              <w:tc>
                <w:tcPr>
                  <w:tcW w:w="133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4F6B73"/>
              </w:tc>
              <w:tc>
                <w:tcPr>
                  <w:tcW w:w="2767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4F6B73"/>
              </w:tc>
              <w:tc>
                <w:tcPr>
                  <w:tcW w:w="3282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4F6B73">
                  <w:pPr>
                    <w:rPr>
                      <w:color w:val="000000"/>
                    </w:rPr>
                  </w:pPr>
                </w:p>
              </w:tc>
            </w:tr>
            <w:tr w:rsidR="004F6B73">
              <w:trPr>
                <w:trHeight w:val="690"/>
                <w:jc w:val="center"/>
              </w:trPr>
              <w:tc>
                <w:tcPr>
                  <w:tcW w:w="1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9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4F6B73">
                  <w:pPr>
                    <w:rPr>
                      <w:sz w:val="24"/>
                    </w:rPr>
                  </w:pPr>
                </w:p>
              </w:tc>
              <w:tc>
                <w:tcPr>
                  <w:tcW w:w="145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4F6B73">
                  <w:pPr>
                    <w:rPr>
                      <w:color w:val="000000"/>
                      <w:sz w:val="24"/>
                    </w:rPr>
                  </w:pP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4F6B73">
                  <w:pPr>
                    <w:rPr>
                      <w:color w:val="000000"/>
                      <w:sz w:val="24"/>
                    </w:rPr>
                  </w:pP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процент исполнения (1), %</w:t>
                  </w:r>
                </w:p>
              </w:tc>
              <w:tc>
                <w:tcPr>
                  <w:tcW w:w="15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сумма отклонения, руб. (гр.5-гр.3)</w:t>
                  </w:r>
                </w:p>
              </w:tc>
              <w:tc>
                <w:tcPr>
                  <w:tcW w:w="5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пояснения</w:t>
                  </w:r>
                </w:p>
              </w:tc>
            </w:tr>
            <w:tr w:rsidR="004F6B73">
              <w:trPr>
                <w:trHeight w:val="300"/>
                <w:jc w:val="center"/>
              </w:trPr>
              <w:tc>
                <w:tcPr>
                  <w:tcW w:w="1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5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7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</w:tr>
            <w:tr w:rsidR="004F6B73">
              <w:trPr>
                <w:trHeight w:val="360"/>
                <w:jc w:val="center"/>
              </w:trPr>
              <w:tc>
                <w:tcPr>
                  <w:tcW w:w="1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4F6B73" w:rsidRDefault="00687B77">
                  <w:pPr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1. Доходы бюджета, всего</w:t>
                  </w:r>
                </w:p>
              </w:tc>
              <w:tc>
                <w:tcPr>
                  <w:tcW w:w="7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33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х</w:t>
                  </w:r>
                </w:p>
              </w:tc>
            </w:tr>
            <w:tr w:rsidR="004F6B73">
              <w:trPr>
                <w:trHeight w:val="270"/>
                <w:jc w:val="center"/>
              </w:trPr>
              <w:tc>
                <w:tcPr>
                  <w:tcW w:w="1982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ind w:firstLine="32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из них не исполнено: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F6B73">
              <w:trPr>
                <w:trHeight w:val="430"/>
                <w:jc w:val="center"/>
              </w:trPr>
              <w:tc>
                <w:tcPr>
                  <w:tcW w:w="1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808 11102102020000120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010</w:t>
                  </w:r>
                </w:p>
              </w:tc>
              <w:tc>
                <w:tcPr>
                  <w:tcW w:w="14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119 531 068,00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ind w:left="-60"/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70 839 034,03</w:t>
                  </w:r>
                </w:p>
              </w:tc>
              <w:tc>
                <w:tcPr>
                  <w:tcW w:w="11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59,26</w:t>
                  </w:r>
                </w:p>
              </w:tc>
              <w:tc>
                <w:tcPr>
                  <w:tcW w:w="15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-48 692 033,97</w:t>
                  </w:r>
                </w:p>
              </w:tc>
              <w:tc>
                <w:tcPr>
                  <w:tcW w:w="5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Средства, полученные от размещения временно свободных остатков средств единого казначейского счета, распределенных Федеральным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Казначейством в соответствии с пунктом 4 Правил зачисления средств, полученных от размещения временно свободных средств единого казначейского счета, утвержденных постановлением Правительства Российской Федерации от 11.07.2020 № 1020</w:t>
                  </w:r>
                </w:p>
              </w:tc>
            </w:tr>
          </w:tbl>
          <w:p w:rsidR="004F6B73" w:rsidRDefault="00687B77">
            <w:pPr>
              <w:ind w:firstLine="6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4F6B73" w:rsidRDefault="00687B77">
            <w:pPr>
              <w:ind w:firstLine="540"/>
              <w:jc w:val="right"/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руб.коп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tbl>
            <w:tblPr>
              <w:tblW w:w="12525" w:type="dxa"/>
              <w:jc w:val="center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1362"/>
              <w:gridCol w:w="1663"/>
              <w:gridCol w:w="8414"/>
            </w:tblGrid>
            <w:tr w:rsidR="004F6B73">
              <w:trPr>
                <w:trHeight w:val="240"/>
                <w:jc w:val="center"/>
              </w:trPr>
              <w:tc>
                <w:tcPr>
                  <w:tcW w:w="10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Код строки</w:t>
                  </w:r>
                </w:p>
              </w:tc>
              <w:tc>
                <w:tcPr>
                  <w:tcW w:w="13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Ведомство</w:t>
                  </w:r>
                </w:p>
              </w:tc>
              <w:tc>
                <w:tcPr>
                  <w:tcW w:w="1007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Значение</w:t>
                  </w:r>
                </w:p>
              </w:tc>
            </w:tr>
            <w:tr w:rsidR="004F6B73">
              <w:trPr>
                <w:trHeight w:val="871"/>
                <w:jc w:val="center"/>
              </w:trPr>
              <w:tc>
                <w:tcPr>
                  <w:tcW w:w="1086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Расходы</w:t>
                  </w:r>
                </w:p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801</w:t>
                  </w:r>
                </w:p>
              </w:tc>
              <w:tc>
                <w:tcPr>
                  <w:tcW w:w="16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34 744 103,08</w:t>
                  </w:r>
                </w:p>
              </w:tc>
              <w:tc>
                <w:tcPr>
                  <w:tcW w:w="84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20 266 946,05 руб. – экономия бюджетных ассигнований, предусмотренных на выплату денежного содержания и 6 399 339,74 руб. – экономия бюджетных ассигнований, предусмотренных на уплату страховых взносов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в связи с тем, что не все депутаты исполняли депутатские полномочия на штатной оплачиваемой основе;</w:t>
                  </w:r>
                </w:p>
                <w:p w:rsidR="004F6B73" w:rsidRDefault="00687B7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2 880 226,59 руб. – экономия бюджетных ассигнований, предусмотренных на выплату заработной платы помощникам депутатов 2 110 781,73 руб. – экономия бюджетн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ых ассигнований, предусмотренных на уплату страховых взносов. Остаток средств по фонду оплаты труда помощников в связи с досрочным прекращением полномочий депутатов (декабрь 2024 -1, сентябрь 2025 – 2). По страховым взносам, в том числе, в связи с превышен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ием размера начисленной заработной платы над установленной предельной величиной базы для начисления страховых взносов;</w:t>
                  </w:r>
                </w:p>
                <w:p w:rsidR="004F6B73" w:rsidRDefault="00687B7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784 229,06 руб. – оптимизация расходов на текущее содержание Думы, в том числе за счет экономии средств, предусмотренных на компенсацию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депутатам расходов, связанных с осуществлением депутатской деятельности;</w:t>
                  </w:r>
                </w:p>
                <w:p w:rsidR="004F6B73" w:rsidRDefault="00687B7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573 443,52 руб. – уменьшение расходов на компенсацию стоимости проезда и провоза багажа к месту использования отпуска в связи с уменьшением количества работников, заявившихся на выпла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ту компенсации, от планируемых изначально;</w:t>
                  </w:r>
                </w:p>
                <w:p w:rsidR="004F6B73" w:rsidRDefault="00687B7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808 249,26 руб. – неисполнение в полном объеме принятых бюджетных обязательств по государственным контрактам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 на оказание услуг сотовой и телефонной связи; на транспортные расходы по проезду к месту командир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ования и обратно </w:t>
                  </w:r>
                </w:p>
                <w:p w:rsidR="004F6B73" w:rsidRDefault="00687B77">
                  <w:pPr>
                    <w:ind w:hanging="60"/>
                    <w:jc w:val="both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835 887,13 руб. – экономия, сложившаяся по результатам проведения конкурентных процедур закупок;</w:t>
                  </w:r>
                </w:p>
                <w:p w:rsidR="004F6B73" w:rsidRDefault="00687B7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10 000 руб. – госпошлина за оформление загранпаспорта – уменьшение обращений за оформлением в связи с сокращением числа командировок за преде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лы территории РФ;</w:t>
                  </w:r>
                </w:p>
                <w:p w:rsidR="004F6B73" w:rsidRDefault="00687B7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75 000 руб. – расходы на выплату денежной премии к Почетной грамоте Мурманской областной Думы гражданам по ходатайству депутата.</w:t>
                  </w:r>
                </w:p>
                <w:p w:rsidR="004F6B73" w:rsidRDefault="00687B77">
                  <w:pPr>
                    <w:ind w:firstLine="40"/>
                    <w:jc w:val="both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4F6B73">
              <w:trPr>
                <w:trHeight w:val="593"/>
                <w:jc w:val="center"/>
              </w:trPr>
              <w:tc>
                <w:tcPr>
                  <w:tcW w:w="1086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13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  <w:p w:rsidR="004F6B73" w:rsidRDefault="00687B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809</w:t>
                  </w:r>
                </w:p>
              </w:tc>
              <w:tc>
                <w:tcPr>
                  <w:tcW w:w="16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1 803 132,71</w:t>
                  </w:r>
                </w:p>
              </w:tc>
              <w:tc>
                <w:tcPr>
                  <w:tcW w:w="84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6B73" w:rsidRDefault="00687B7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Возврат остатка средств субсидии некоммерческим организациям в рамках реализации РП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«Производительность труда», в соответствии с порядком от 30.07.2025 № 499-ПП.</w:t>
                  </w:r>
                </w:p>
                <w:p w:rsidR="004F6B73" w:rsidRDefault="00687B77">
                  <w:pPr>
                    <w:jc w:val="both"/>
                    <w:rPr>
                      <w:color w:val="000000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Данные об операциях по управлению остатками средств на едином счете областного бюджета Мурманской области за 2025 год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Привлечение на единый счет областного бюджета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привлеченных средств в соответствии с подпунктом 2 пункта 6 статьи 236.1 Бюджетного кодекса Российской Федерации (остатки средств на казначейских счетах для осуществления и отражения операций с денежными средствами, поступающими во временное распор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яжение получателей средств бюджета Мурманской области):</w:t>
            </w:r>
          </w:p>
          <w:p w:rsidR="004F6B73" w:rsidRDefault="00687B77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Подкрепление счета 03222 – 106 801 435,51 руб.;</w:t>
            </w:r>
          </w:p>
          <w:p w:rsidR="004F6B73" w:rsidRDefault="00687B77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Перечисление остатка средств со счета 03222 – 110 024 515,57 руб.;</w:t>
            </w:r>
          </w:p>
          <w:p w:rsidR="004F6B73" w:rsidRDefault="00687B77">
            <w:pPr>
              <w:ind w:firstLine="54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Привлечение на единый счет областного бюджета и возврат привлеченных средств в соот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ветствии с подпунктом 2 пункта 6 статьи 236.1 Бюджетного кодекса Российской Федерации (остатки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Мурма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нской области):</w:t>
            </w:r>
          </w:p>
          <w:p w:rsidR="004F6B73" w:rsidRDefault="00687B77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Подкрепление счета 03224 – 26 021 729 200,52 руб.;</w:t>
            </w:r>
          </w:p>
          <w:p w:rsidR="004F6B73" w:rsidRDefault="00687B77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Перечисление остатка средств со счета 03224 – 26 020 312 629,18 руб.</w:t>
            </w:r>
          </w:p>
          <w:p w:rsidR="004F6B73" w:rsidRDefault="00687B77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Привлечение на единый счет областного бюджета и возврат привлеченных средств в соответствии с подпунктом 2 пункта 6 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атьи 236.1 Бюджетного кодекса Российской Федерации (остатки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фондом):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Подкрепление счета 03271 – 24 758 377 736,41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руб.;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Перечисление остатка средств со счета 03271 – 25 273 818 022,26 руб.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Привлечение на единый счет областного бюджета и возврат привлеченных средств в соответствии с подпунктом 2 пункта 6 статьи 236.1 Бюджетного кодекса Российской Федерации (остатки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 на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Мурманской области):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Подкрепление счета 03225 – 5 311 753 773,23 руб.;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Перечисление остатка сре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со счета 03225 – 4 028 673 216,74 руб.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Объем привлеченных средств на единый счет областного бюджета, подлежащий возврату на казначейские счета, по состоянию на 01.01.2026 года составляет 7 290 161 327,34 руб.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за 2025 год по коду источни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финансирования дефицита бюджета по бюджетной классификации 80801061002020000550 «Увеличение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учреждениями» составило 765 833 761 руб. 92 коп.</w:t>
            </w:r>
          </w:p>
          <w:p w:rsidR="004F6B73" w:rsidRDefault="00687B77">
            <w:pPr>
              <w:ind w:firstLine="5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</w:tbl>
    <w:p w:rsidR="004F6B73" w:rsidRDefault="00687B77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4.  Анализ показателей финансовой отчетности субъекта бюджетной отчетности.</w:t>
      </w:r>
    </w:p>
    <w:p w:rsidR="004F6B73" w:rsidRDefault="00687B77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составе раздела представлены следующие формы отчетности: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движении нефинансовых активов </w:t>
      </w:r>
      <w:hyperlink r:id="rId8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</w:rPr>
          <w:t>(ф. 0503168)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по дебиторской и кредиторской задолженности </w:t>
      </w:r>
      <w:hyperlink r:id="rId9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</w:rPr>
          <w:t>(ф. 0503169)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финансовых вложениях получателя бюджетных средств, администратора источников финансирования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ефицита бюджета </w:t>
      </w:r>
      <w:hyperlink r:id="rId10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</w:rPr>
          <w:t>(ф. 0503171)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F6B73" w:rsidRDefault="00687B77">
      <w:pPr>
        <w:ind w:firstLine="56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государственном (муниципальном) долге </w:t>
      </w:r>
      <w:hyperlink r:id="rId11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</w:rPr>
          <w:t>(ф. 0503172)</w:t>
        </w:r>
      </w:hyperlink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;</w:t>
      </w:r>
    </w:p>
    <w:p w:rsidR="004F6B73" w:rsidRDefault="00687B77">
      <w:pPr>
        <w:ind w:firstLine="56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об изменении остатков валюты баланса (ф. 0503173);</w:t>
      </w:r>
    </w:p>
    <w:p w:rsidR="004F6B73" w:rsidRDefault="00687B77">
      <w:pPr>
        <w:ind w:firstLine="56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Сведения о доходах бюджета от перечисления части прибыли (дивидендов) государственных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(муниципальных) унитарных предприятий, иных организаций с государственным участием в капитале (ф. 0503174);</w:t>
      </w:r>
    </w:p>
    <w:p w:rsidR="004F6B73" w:rsidRDefault="00687B77">
      <w:pPr>
        <w:ind w:firstLine="56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принятых и неисполненных обязательствах получателя бюджетных средств (ф. 0503175);</w:t>
      </w:r>
    </w:p>
    <w:p w:rsidR="004F6B73" w:rsidRDefault="00687B77">
      <w:pPr>
        <w:ind w:firstLine="56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об остатках денежных средств на счетах получ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ателя бюджетных средств </w:t>
      </w:r>
      <w:hyperlink r:id="rId12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</w:rPr>
          <w:t>(ф. 0503178)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F6B73" w:rsidRDefault="00687B77">
      <w:pPr>
        <w:ind w:firstLine="56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вложениях в объекты недвижимого имущества, объектах незавершенного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строительства (ф. 0503190).</w:t>
      </w:r>
    </w:p>
    <w:p w:rsidR="004F6B73" w:rsidRDefault="00687B77">
      <w:pPr>
        <w:ind w:firstLine="56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</w:t>
      </w:r>
    </w:p>
    <w:p w:rsidR="004F6B73" w:rsidRDefault="00687B77">
      <w:pPr>
        <w:ind w:firstLine="70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 Сведения о движении нефинансовых активов» </w:t>
      </w:r>
      <w:hyperlink r:id="rId13">
        <w:r>
          <w:rPr>
            <w:rStyle w:val="a4"/>
            <w:rFonts w:ascii="Times New Roman" w:eastAsia="Times New Roman" w:hAnsi="Times New Roman" w:cs="Times New Roman"/>
            <w:b/>
            <w:i/>
            <w:color w:val="000000"/>
            <w:sz w:val="28"/>
            <w:szCs w:val="28"/>
            <w:u w:val="none"/>
          </w:rPr>
          <w:t>(ф. 0503168)</w:t>
        </w:r>
      </w:hyperlink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 содержит обобщенные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отчетный период данные о движении нефинансовых активов субъекта бюджетной отчетности.</w:t>
      </w:r>
    </w:p>
    <w:tbl>
      <w:tblPr>
        <w:tblW w:w="1050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</w:tblGrid>
      <w:tr w:rsidR="004F6B73">
        <w:trPr>
          <w:trHeight w:val="27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ind w:firstLine="70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Остаточная стоимость основных средств на конец отчетного периода составила 10 941,51 млн рублей, из них:</w:t>
            </w:r>
          </w:p>
        </w:tc>
      </w:tr>
      <w:tr w:rsidR="004F6B73">
        <w:trPr>
          <w:trHeight w:val="27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ind w:firstLine="70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недвижимое имущество (жилые помещения, нежилые здания и сооруж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ения) – </w:t>
            </w:r>
          </w:p>
          <w:p w:rsidR="004F6B73" w:rsidRDefault="00687B77">
            <w:pPr>
              <w:ind w:firstLine="70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10 081,84 млн рублей;</w:t>
            </w:r>
          </w:p>
        </w:tc>
      </w:tr>
      <w:tr w:rsidR="004F6B73">
        <w:trPr>
          <w:trHeight w:val="27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ind w:firstLine="70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машины и оборудования – 743,35 млн рублей; </w:t>
            </w:r>
          </w:p>
        </w:tc>
      </w:tr>
      <w:tr w:rsidR="004F6B73">
        <w:trPr>
          <w:trHeight w:val="27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ind w:firstLine="70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транспортные средства – 98,5 млн рублей;</w:t>
            </w:r>
          </w:p>
        </w:tc>
      </w:tr>
      <w:tr w:rsidR="004F6B73">
        <w:trPr>
          <w:trHeight w:val="27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ind w:firstLine="70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инвентарь производственный и хозяйственный – 17,49 млн рублей;</w:t>
            </w:r>
          </w:p>
        </w:tc>
      </w:tr>
      <w:tr w:rsidR="004F6B73">
        <w:trPr>
          <w:trHeight w:val="27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ind w:firstLine="70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иное имущество – 0,30 млн рублей.</w:t>
            </w:r>
          </w:p>
        </w:tc>
      </w:tr>
    </w:tbl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1 января 2025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года нефинансовые активы имущества казны Мурманской области составляют 11 278,66 млн рублей, из них имущество казны в концессии на сумму 1 641,75 млн рублей.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Сведения по дебиторской и кредиторской задолженности </w:t>
      </w:r>
      <w:hyperlink r:id="rId14">
        <w:r>
          <w:rPr>
            <w:rStyle w:val="a4"/>
            <w:rFonts w:ascii="Times New Roman" w:eastAsia="Times New Roman" w:hAnsi="Times New Roman" w:cs="Times New Roman"/>
            <w:b/>
            <w:i/>
            <w:color w:val="000000"/>
            <w:sz w:val="28"/>
            <w:szCs w:val="28"/>
            <w:u w:val="none"/>
          </w:rPr>
          <w:t>(ф. 0503169)</w:t>
        </w:r>
      </w:hyperlink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 содержит обобщенные за отчетный период данные о состоянии расчетов по дебиторской и кредиторской задолженности субъектов бюджетной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 областного бюджета в разрезе видов расчетов.</w:t>
      </w:r>
    </w:p>
    <w:p w:rsidR="004F6B73" w:rsidRDefault="00687B77">
      <w:pPr>
        <w:ind w:firstLine="700"/>
        <w:jc w:val="both"/>
        <w:outlineLvl w:val="2"/>
        <w:rPr>
          <w:b/>
          <w:color w:val="000000"/>
          <w:sz w:val="27"/>
        </w:rPr>
      </w:pPr>
      <w:hyperlink r:id="rId15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</w:rPr>
          <w:t>Приложения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составлены раздельно по дебиторской и кредиторской задолженности. </w:t>
      </w:r>
    </w:p>
    <w:p w:rsidR="004F6B73" w:rsidRDefault="00687B77">
      <w:pPr>
        <w:ind w:firstLine="70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spacing w:after="12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Динамика и структура дебиторской з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адолженности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областного бюджета Мурманской области по состоянию на 1 января 2026 года   представлены в таблице:</w:t>
      </w:r>
    </w:p>
    <w:p w:rsidR="004F6B73" w:rsidRDefault="00687B77">
      <w:pPr>
        <w:spacing w:after="120"/>
        <w:ind w:firstLine="56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млн рублей</w:t>
      </w:r>
    </w:p>
    <w:tbl>
      <w:tblPr>
        <w:tblW w:w="13050" w:type="dxa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1423"/>
        <w:gridCol w:w="1514"/>
        <w:gridCol w:w="1423"/>
        <w:gridCol w:w="1514"/>
        <w:gridCol w:w="1460"/>
        <w:gridCol w:w="1471"/>
      </w:tblGrid>
      <w:tr w:rsidR="004F6B73">
        <w:trPr>
          <w:trHeight w:val="827"/>
          <w:jc w:val="center"/>
        </w:trPr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Дебиторская задолженность</w:t>
            </w:r>
          </w:p>
          <w:p w:rsidR="004F6B73" w:rsidRDefault="00687B77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4F6B73" w:rsidRDefault="00687B77">
            <w:pPr>
              <w:ind w:firstLine="5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на 01.01.2025 г.</w:t>
            </w:r>
          </w:p>
        </w:tc>
        <w:tc>
          <w:tcPr>
            <w:tcW w:w="2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4F6B73" w:rsidRDefault="00687B77">
            <w:pPr>
              <w:ind w:firstLine="5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на 01.01.2026 г.</w:t>
            </w:r>
          </w:p>
        </w:tc>
        <w:tc>
          <w:tcPr>
            <w:tcW w:w="2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Задолженность на 01.01.2026 г. к 01.01.2025 г (+,-)</w:t>
            </w:r>
          </w:p>
        </w:tc>
      </w:tr>
      <w:tr w:rsidR="004F6B73">
        <w:trPr>
          <w:trHeight w:val="577"/>
          <w:jc w:val="center"/>
        </w:trPr>
        <w:tc>
          <w:tcPr>
            <w:tcW w:w="42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Всего</w:t>
            </w:r>
          </w:p>
          <w:p w:rsidR="004F6B73" w:rsidRDefault="00687B77">
            <w:pPr>
              <w:ind w:firstLine="5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ind w:right="-24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  <w:p w:rsidR="004F6B73" w:rsidRDefault="00687B77">
            <w:pPr>
              <w:ind w:right="-24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просроченная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ind w:left="-100" w:right="-2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просроченная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ind w:left="-100" w:right="-2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  <w:p w:rsidR="004F6B73" w:rsidRDefault="00687B77">
            <w:pPr>
              <w:ind w:hanging="10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просроченная</w:t>
            </w:r>
          </w:p>
        </w:tc>
      </w:tr>
      <w:tr w:rsidR="004F6B73">
        <w:trPr>
          <w:trHeight w:val="70"/>
          <w:jc w:val="center"/>
        </w:trPr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75 192,4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1 674,4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75 728,9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7 648,6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+ 536,5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+ 5 974,2</w:t>
            </w:r>
          </w:p>
        </w:tc>
      </w:tr>
      <w:tr w:rsidR="004F6B73">
        <w:trPr>
          <w:jc w:val="center"/>
        </w:trPr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Расчеты по доходам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(1 205 00 000)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59 964,2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hanging="10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639,4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59 601,9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1 238,9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- 362,3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left="-10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+ 599,5</w:t>
            </w:r>
          </w:p>
        </w:tc>
      </w:tr>
      <w:tr w:rsidR="004F6B73">
        <w:trPr>
          <w:jc w:val="center"/>
        </w:trPr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Расчеты по выданным авансам 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(1 206 00 000)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14 260,7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18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709,6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15 228,9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6 369,1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4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+ 968,2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left="-10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+ 5 659,5</w:t>
            </w:r>
          </w:p>
        </w:tc>
      </w:tr>
      <w:tr w:rsidR="004F6B73">
        <w:trPr>
          <w:jc w:val="center"/>
        </w:trPr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Расчеты с подотчетными лицами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(1 208 00 000)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3,5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18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- 1,5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left="-10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4F6B73">
        <w:trPr>
          <w:trHeight w:val="447"/>
          <w:jc w:val="center"/>
        </w:trPr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Расчеты по ущербу имуществу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(1 209 00 000) 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455,6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18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325,4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456,5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40,6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+ 0,9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- 284,8</w:t>
            </w:r>
          </w:p>
        </w:tc>
      </w:tr>
      <w:tr w:rsidR="004F6B73">
        <w:trPr>
          <w:jc w:val="center"/>
        </w:trPr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Расчеты по платежам в бюджеты 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(1 303 00 000)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508,4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18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4F6B73" w:rsidRDefault="00687B77">
            <w:pPr>
              <w:ind w:firstLine="18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439,6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- 68,8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4F6B73" w:rsidRDefault="00687B77">
      <w:pPr>
        <w:spacing w:after="120"/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сумма дебиторской задолженности за 2025 год в сравнении с данными за аналогичный отчетный период прошлого финансового года увеличилась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536,5 млн рублей и на 1 января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2026 года составила 75 728,9 млн рублей.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Наибольший объем дебиторской задолженности за 2025 год составляет долгосрочная задолженность, которая не требует мер принудительного взыскания (начислены доходы будущих периодов по заключенным договорам (соглашениям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с длительным сроком платежей).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Наибольшая сумма дебиторской задолженности образовалась от предоставления межбюджетных трансфертов, начисленных в соответствии с федеральным </w:t>
      </w:r>
      <w:hyperlink r:id="rId16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</w:rPr>
          <w:t>стандарт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бухгалтерского учета для организаций государственного сектора «Доходы», утвержденного приказом Министерства финансов Российской Федерации от 27.02.2018 № 32н,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неуплаченные по сроку текущие налоговые платежи, расчеты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дебиторами по авансовым платежам перед поставщиками, нарушение контрагентами сроков исполнения работ (услуг) по контракту. 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Просроченная дебиторская задолженность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сравнении с данными за 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логичный отчетный период прошлого финансового года увеличилась на 5 974,2 млн рублей и на 1 января 2026 года составляет 7 648,6 млн рублей, в том числе: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структуре групп доходов просроченная дебиторская задолженность по неналоговым доходам областных ГАДБ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805,9 млн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сложилась следующим образом: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административные штрафы – 770,9 млн рублей;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доходы от компенсации затрат государства – 25,9 млн рублей;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доходы от использования имущества, находящегося в государственной и муниципальной собственно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– 9,1 млн рублей.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Просроченная дебиторская задолженность по доходам приходится на административные штрафы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770,9 млн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(увеличение за 2025 год на 212%).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Наибольший объем задолженности 744,4 млн рублей сложился по административным штрафам, администр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ируемых Министерством юстиции Мурманской области.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Расшифровка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администруемых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административный штраф ч.7 ст.7.32 КоАП РФ в сумме 461,9 млн рублей в связи с невыполнением обязательств по контракту (нарушение сроков выполнения работ по инженерным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изысканиям, подготовке проектной документации и строительству объекта;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административные штрафы физическим и юридическим лицам в объеме 257,8 млн рублей за административные правонарушения, посягающие на общественный порядок и общественную безопасность,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лагаемые мировыми судьями, комиссиями по делам несовершеннолетних и защите их прав (штрафы за невыполнение требований норм и правил по предупреждению и ликвидации чрезвычайных ситуаций);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административные штрафы физическим и юридическим лицам в объеме бол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млн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административные правонарушения, посягающие на права граждан, здоровье, санитарно-эпидемиологическое благополучие населения и общественную нравственность, в области охраны собственности, в области охраны окружающей среды, природопользов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ания и обращения с животными, в области дорожного движения, в области предпринимательской деятельности и деятельности саморегулируемых организаций, в области финансов, налогов и сборов, страхования, рынка ценных бумаг,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добычи, производства, использования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обращения драгоценных металлов и драгоценных камней, правонарушения, посягающие на институты государственной власти;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штрафные санкции за нарушение сроков внесения арендной платы за пользование земельными участниками в общем объеме 14,0 млн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рублей;.</w:t>
      </w:r>
      <w:proofErr w:type="gramEnd"/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административным штрафам за нарушение лицензионных требований в части ненадлежащего содержания общего имущества МКД, за невыполнение в срок предписания органа, осуществляющего лицензионный контроль по управлению многоквартирными домами, об устранении нару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шений лицензионных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сумме 9,6 млн рублей по административным штрафам за нарушение лицензионных требований в части ненадлежащего содержания общего имущества МКД, за невыполнение в срок предписания органа, осуществляющего лицензионный контроль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управлению многоквартирными домами, об устранении нарушений лицензионных требований. 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прочим административным штрафам сложилась в сумме 7,6 млн рублей.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Просроченная дебиторская задолженность по доходам от компенсации затрат государства – 25,9 млн рубл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(уменьшение за 2025 год в 12 раз).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Наибольшая сумма задолженности сложилась у Министерства здравоохранения (21,6 млн рублей) по единовременным компенсационным выплатам медицинским работникам, принимаемым на квотированные рабочие места в размере 1,5 млн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рублей (постановление Правительства МО № 1572-01-ЗМО от 25.12.2012), единовременные компенсационные выплаты медицинским работникам в возрасте до 55 лет, прибывшим (переехавшим) в Мурманскую область, в размере 0,5 млн рублей (постановление Правительства МО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183-ПП от 06.04.2021). Возврат части выплаты в связи с прекращением трудового договора медицинским работником с медицинской организацией до истечения пятилетнего срока. А также ежемесячная стипендии студентам, заключившему договор о целевом обучении с 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нистерством здравоохранения Мурманской области в связи с невыполнением условий договора, подлежащая возврату.</w:t>
      </w:r>
    </w:p>
    <w:p w:rsidR="004F6B73" w:rsidRDefault="00687B77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Министерства строительства задолженность сложилась в сумме 2,3 млн рублей - аванс на осуществление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энергопринимаю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устройств объекта «Жилой дом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Зеленоборский Кандалакшского района Мурманской области», аванс на оказание почтовых услуг. Авансы возвращены в областной бюджет 27.02.2026 и 24.03.2026 соответственно.</w:t>
      </w:r>
    </w:p>
    <w:p w:rsidR="004F6B73" w:rsidRDefault="00687B77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Министерства культуры задолженность сложилась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0,5 млн рублей – неиспользованные средств гранта Губернатора Мурманской области на поддержку творческой деятельности Мурманских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писателей, гранта Губернатора Мурманской области на реализацию кинопроектов молодежи на кинопроект «Помор». По всем факт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 прошли судебные заседания, ведется исполнительное производство.</w:t>
      </w:r>
    </w:p>
    <w:p w:rsidR="004F6B73" w:rsidRDefault="00687B77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Министерства имущественных отношений мурманской области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  сложилась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0,4 млн рублей - возмещение расходов за коммунальные услуги и содержание имущества за период с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0-2021 годы за Военно- Патриотический Фонд. </w:t>
      </w:r>
    </w:p>
    <w:p w:rsidR="004F6B73" w:rsidRDefault="00687B77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Просроченная дебиторская задолженность по доходам от использования имущества, находящегося в государственной и муниципальной собственности - 9,1 млн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(уменьшение за 2025 год в 28 раз).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Задолженность по доходам от использования имущества, находящегося в государственной и муниципальной собственности сложилась у Министерства имущественных отношений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9,1 млн.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нарушение сроков оплаты арендной платы земельных участков. 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Проср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оченная дебиторская задолженность по расходам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сложилась в сумме 6 369,1 млн рублей и сложилась: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4 008,9 млн рублей у Министерства строительства Мурманской области образовалась в связи с нарушением сроков подрядными организациями исполнения услови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предусмотренных государственными контрактами на строительство (реконструкцию) объектов;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сумме 2 3601,1 млн рублей у Министерства транспорта и дорожного хозяйства Мурманской области </w:t>
      </w:r>
    </w:p>
    <w:p w:rsidR="004F6B73" w:rsidRDefault="00687B7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 выполнение с нарушением срока по причине: не пройдена экспертиза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проектной документации Объект не сдан.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снижения просроченной дебиторской задолженности ведется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претензионно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исковая работа. </w:t>
      </w:r>
    </w:p>
    <w:p w:rsidR="004F6B73" w:rsidRDefault="00687B77">
      <w:pPr>
        <w:spacing w:line="360" w:lineRule="atLeast"/>
        <w:ind w:firstLine="28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4F6B73" w:rsidRDefault="00687B77">
      <w:pPr>
        <w:spacing w:line="360" w:lineRule="atLeast"/>
        <w:ind w:firstLine="2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Расшифровка Сведений по дебиторской задолженности в разрезе прочих администраторов доходов областного бюджета</w:t>
      </w:r>
    </w:p>
    <w:p w:rsidR="004F6B73" w:rsidRDefault="00687B77">
      <w:pPr>
        <w:ind w:firstLine="560"/>
        <w:jc w:val="right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</w:rPr>
        <w:t>млн рубл</w:t>
      </w:r>
      <w:r>
        <w:rPr>
          <w:rFonts w:ascii="Times New Roman" w:eastAsia="Times New Roman" w:hAnsi="Times New Roman" w:cs="Times New Roman"/>
          <w:color w:val="000000"/>
        </w:rPr>
        <w:t>ей</w:t>
      </w:r>
    </w:p>
    <w:tbl>
      <w:tblPr>
        <w:tblW w:w="13170" w:type="dxa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4713"/>
        <w:gridCol w:w="1130"/>
        <w:gridCol w:w="1291"/>
        <w:gridCol w:w="1417"/>
        <w:gridCol w:w="1130"/>
        <w:gridCol w:w="1291"/>
        <w:gridCol w:w="1532"/>
      </w:tblGrid>
      <w:tr w:rsidR="004F6B73">
        <w:trPr>
          <w:trHeight w:val="1236"/>
          <w:jc w:val="center"/>
        </w:trPr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1 205 00 000</w:t>
            </w:r>
          </w:p>
        </w:tc>
        <w:tc>
          <w:tcPr>
            <w:tcW w:w="12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1 205 11 000     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Расчеты с плательщиками налоговых    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доходов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1 205 45 000 Расчеты с плательщиками сумм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принудительного изъятия</w:t>
            </w: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1 205 00 000</w:t>
            </w:r>
          </w:p>
        </w:tc>
        <w:tc>
          <w:tcPr>
            <w:tcW w:w="12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1 205 11 000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Расчеты с плательщиками налоговых    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доходов</w:t>
            </w:r>
          </w:p>
        </w:tc>
        <w:tc>
          <w:tcPr>
            <w:tcW w:w="1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1 205 45 000 Расчеты с плательщиками сумм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принудительного изъятия</w:t>
            </w:r>
          </w:p>
        </w:tc>
      </w:tr>
      <w:tr w:rsidR="004F6B73">
        <w:trPr>
          <w:trHeight w:val="382"/>
          <w:jc w:val="center"/>
        </w:trPr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на 01.01.2025 года</w:t>
            </w:r>
          </w:p>
        </w:tc>
        <w:tc>
          <w:tcPr>
            <w:tcW w:w="395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на 01.01.2026 года </w:t>
            </w:r>
          </w:p>
        </w:tc>
      </w:tr>
      <w:tr w:rsidR="004F6B73">
        <w:trPr>
          <w:trHeight w:val="584"/>
          <w:jc w:val="center"/>
        </w:trPr>
        <w:tc>
          <w:tcPr>
            <w:tcW w:w="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федеральной налоговой службы по Мурманской области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4 311,68</w:t>
            </w:r>
          </w:p>
        </w:tc>
        <w:tc>
          <w:tcPr>
            <w:tcW w:w="12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4 311,51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0,17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Calibri" w:eastAsia="Calibri" w:hAnsi="Calibri" w:cs="Calibri"/>
                <w:color w:val="000000"/>
                <w:shd w:val="clear" w:color="auto" w:fill="FFFFFF"/>
              </w:rPr>
              <w:t>9 783,32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9 783,19</w:t>
            </w:r>
          </w:p>
        </w:tc>
        <w:tc>
          <w:tcPr>
            <w:tcW w:w="1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0,13</w:t>
            </w:r>
          </w:p>
        </w:tc>
      </w:tr>
      <w:tr w:rsidR="004F6B73">
        <w:trPr>
          <w:trHeight w:val="267"/>
          <w:jc w:val="center"/>
        </w:trPr>
        <w:tc>
          <w:tcPr>
            <w:tcW w:w="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002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Администрация г. Кировска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0,02 </w:t>
            </w:r>
          </w:p>
        </w:tc>
        <w:tc>
          <w:tcPr>
            <w:tcW w:w="12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0,02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0,02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0,02</w:t>
            </w:r>
          </w:p>
        </w:tc>
      </w:tr>
      <w:tr w:rsidR="004F6B73">
        <w:trPr>
          <w:trHeight w:val="480"/>
          <w:jc w:val="center"/>
        </w:trPr>
        <w:tc>
          <w:tcPr>
            <w:tcW w:w="53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4 311,70</w:t>
            </w:r>
          </w:p>
        </w:tc>
        <w:tc>
          <w:tcPr>
            <w:tcW w:w="12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4 311,51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0,19</w:t>
            </w: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9 783,34</w:t>
            </w:r>
          </w:p>
        </w:tc>
        <w:tc>
          <w:tcPr>
            <w:tcW w:w="12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9 783,19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hd w:val="clear" w:color="auto" w:fill="FFFFFF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0,15</w:t>
            </w:r>
          </w:p>
        </w:tc>
      </w:tr>
    </w:tbl>
    <w:p w:rsidR="004F6B73" w:rsidRDefault="00687B77">
      <w:pPr>
        <w:ind w:firstLine="56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Динамика и структура кредиторской задолженности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областного бюджета Мурманской области по состоянию на 1 января 2026 представлены в таблице:</w:t>
      </w:r>
    </w:p>
    <w:p w:rsidR="004F6B73" w:rsidRDefault="00687B77">
      <w:pPr>
        <w:ind w:firstLine="56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млн рублей.</w:t>
      </w:r>
    </w:p>
    <w:tbl>
      <w:tblPr>
        <w:tblW w:w="13215" w:type="dxa"/>
        <w:tblInd w:w="-31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8"/>
        <w:gridCol w:w="1703"/>
        <w:gridCol w:w="1495"/>
        <w:gridCol w:w="1534"/>
        <w:gridCol w:w="1495"/>
        <w:gridCol w:w="1495"/>
        <w:gridCol w:w="1495"/>
      </w:tblGrid>
      <w:tr w:rsidR="004F6B73">
        <w:tc>
          <w:tcPr>
            <w:tcW w:w="39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F6B73" w:rsidRDefault="00687B77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Кредиторская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</w:t>
            </w:r>
          </w:p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ind w:firstLine="5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F6B73" w:rsidRDefault="00687B77">
            <w:pPr>
              <w:ind w:firstLine="5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01.01.2025 г</w:t>
            </w:r>
          </w:p>
        </w:tc>
        <w:tc>
          <w:tcPr>
            <w:tcW w:w="3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ind w:firstLine="5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F6B73" w:rsidRDefault="00687B77">
            <w:pPr>
              <w:ind w:firstLine="56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01.01.2026 г.</w:t>
            </w:r>
          </w:p>
        </w:tc>
        <w:tc>
          <w:tcPr>
            <w:tcW w:w="2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ind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на 01.01.2026 г. к 01.01.2025 г. (+, -)</w:t>
            </w:r>
          </w:p>
        </w:tc>
      </w:tr>
      <w:tr w:rsidR="004F6B73">
        <w:trPr>
          <w:trHeight w:val="906"/>
        </w:trPr>
        <w:tc>
          <w:tcPr>
            <w:tcW w:w="39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Кредиторская задолженность</w:t>
            </w:r>
          </w:p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просроченная задолженность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Кредиторская задолженность</w:t>
            </w:r>
          </w:p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просроченная задолженность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Кредиторская задолженность</w:t>
            </w:r>
          </w:p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просроченная задолженность</w:t>
            </w:r>
          </w:p>
        </w:tc>
      </w:tr>
      <w:tr w:rsidR="004F6B73">
        <w:tc>
          <w:tcPr>
            <w:tcW w:w="3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ind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Расчеты по доходам</w:t>
            </w:r>
          </w:p>
          <w:p w:rsidR="004F6B73" w:rsidRDefault="00687B77">
            <w:pPr>
              <w:ind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(1 205 00 000)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2 605,06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1,22 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6 621,56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+ 4 016,5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-1,22 </w:t>
            </w:r>
          </w:p>
        </w:tc>
      </w:tr>
      <w:tr w:rsidR="004F6B73">
        <w:tc>
          <w:tcPr>
            <w:tcW w:w="3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Расчеты с подотчетными лицами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(1 208 00 000)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0,18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0,08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- 0,1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F6B73">
        <w:tc>
          <w:tcPr>
            <w:tcW w:w="3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Расчеты по ущербу и иным доходам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(1 209 00 000)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0,08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+ 0,03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F6B73">
        <w:tc>
          <w:tcPr>
            <w:tcW w:w="3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Расчеты по принятым обязательствам (1 302 00 000)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8 071,32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7 446,44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- 624,88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F6B73">
        <w:tc>
          <w:tcPr>
            <w:tcW w:w="3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Расчеты по платежам в бюджеты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(1 303 00 000)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347,62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276,7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left="-100" w:firstLine="70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- 70,92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F6B73">
        <w:tc>
          <w:tcPr>
            <w:tcW w:w="3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расчеты с кредиторами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(1 304 00 000)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0,04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0,03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F6B73">
        <w:tc>
          <w:tcPr>
            <w:tcW w:w="3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11 024,24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1,22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14 344,90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+ 3 320,66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- 1,22 </w:t>
            </w:r>
          </w:p>
        </w:tc>
      </w:tr>
      <w:tr w:rsidR="004F6B73">
        <w:tc>
          <w:tcPr>
            <w:tcW w:w="3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будущих периодов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(1 401 40 000)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60 977,01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66 347,9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+ 5 370,89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F6B73">
        <w:tc>
          <w:tcPr>
            <w:tcW w:w="3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Резервы предстоящих расходов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(1 401 60 000)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932,52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985,21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- 52,69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ind w:firstLine="56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4F6B73" w:rsidRDefault="00687B77">
      <w:pPr>
        <w:ind w:firstLine="540"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> 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сумма кредиторской задолженности увеличилась на 5 370,89 млн рублей и по состоянию на 1 января 2026 года составила 14 344,90 млн рублей. 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Наиболее значительное увеличение произошло по счету 1 205 00 «Расчеты по доходам» на сумму 64 016,5 млн рублей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Управление федеральной налоговой службы по Мурманской области.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Просроченная кредиторская задолженность областного бюджета по состоянию на 1 января 2026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года  отсутствует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Расшифровка Сведений по кредиторской задолженности в разрезе прочих администраторов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доходов областного бюджета</w:t>
      </w:r>
    </w:p>
    <w:p w:rsidR="004F6B73" w:rsidRDefault="00687B77">
      <w:pPr>
        <w:ind w:firstLine="56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млн рублей</w:t>
      </w:r>
    </w:p>
    <w:tbl>
      <w:tblPr>
        <w:tblW w:w="12615" w:type="dxa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9"/>
        <w:gridCol w:w="1703"/>
        <w:gridCol w:w="1603"/>
        <w:gridCol w:w="1395"/>
        <w:gridCol w:w="1685"/>
      </w:tblGrid>
      <w:tr w:rsidR="004F6B73">
        <w:trPr>
          <w:jc w:val="center"/>
        </w:trPr>
        <w:tc>
          <w:tcPr>
            <w:tcW w:w="6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spacing w:after="1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4F6B73" w:rsidRDefault="00687B77">
            <w:pPr>
              <w:spacing w:after="1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Номер счета</w:t>
            </w:r>
          </w:p>
        </w:tc>
        <w:tc>
          <w:tcPr>
            <w:tcW w:w="3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(код адм. 182) Управление федеральной налоговой службы по Мурманской области</w:t>
            </w:r>
          </w:p>
        </w:tc>
      </w:tr>
      <w:tr w:rsidR="004F6B73">
        <w:trPr>
          <w:jc w:val="center"/>
        </w:trPr>
        <w:tc>
          <w:tcPr>
            <w:tcW w:w="6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01.01.2025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 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01.01.2026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01.01.2025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 </w:t>
            </w:r>
          </w:p>
          <w:p w:rsidR="004F6B73" w:rsidRDefault="00687B77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01.01.2026</w:t>
            </w:r>
          </w:p>
        </w:tc>
      </w:tr>
      <w:tr w:rsidR="004F6B73">
        <w:trPr>
          <w:jc w:val="center"/>
        </w:trPr>
        <w:tc>
          <w:tcPr>
            <w:tcW w:w="6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spacing w:after="1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120500000 (Расчеты по доходам)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2 600,30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6 614,48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2 600,30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6 614,48</w:t>
            </w:r>
          </w:p>
        </w:tc>
      </w:tr>
      <w:tr w:rsidR="004F6B73">
        <w:trPr>
          <w:jc w:val="center"/>
        </w:trPr>
        <w:tc>
          <w:tcPr>
            <w:tcW w:w="6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spacing w:after="1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120511000 (Расчеты с плательщиками налогов)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2 599,25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6 613,44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2 599,25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6 613,44</w:t>
            </w:r>
          </w:p>
        </w:tc>
      </w:tr>
      <w:tr w:rsidR="004F6B73">
        <w:trPr>
          <w:jc w:val="center"/>
        </w:trPr>
        <w:tc>
          <w:tcPr>
            <w:tcW w:w="6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120512000 (Расчеты с плательщиками государственных пошлин, сборов)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0,31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0,3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0,31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0,3</w:t>
            </w:r>
          </w:p>
        </w:tc>
      </w:tr>
      <w:tr w:rsidR="004F6B73">
        <w:trPr>
          <w:jc w:val="center"/>
        </w:trPr>
        <w:tc>
          <w:tcPr>
            <w:tcW w:w="6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120545000 (Расчеты по доходам от прочих сумм принудительного изъятия)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0,74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0,74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074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0,74</w:t>
            </w:r>
          </w:p>
        </w:tc>
      </w:tr>
      <w:tr w:rsidR="004F6B73">
        <w:trPr>
          <w:jc w:val="center"/>
        </w:trPr>
        <w:tc>
          <w:tcPr>
            <w:tcW w:w="6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Доходы будущих периодов</w:t>
            </w:r>
          </w:p>
          <w:p w:rsidR="004F6B73" w:rsidRDefault="00687B77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(1 401 40 000)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3 878,95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9 496,68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3 878,95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spacing w:after="1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9 496,68</w:t>
            </w:r>
          </w:p>
        </w:tc>
      </w:tr>
    </w:tbl>
    <w:p w:rsidR="004F6B73" w:rsidRDefault="00687B77">
      <w:pPr>
        <w:spacing w:after="120"/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 </w:t>
      </w:r>
    </w:p>
    <w:p w:rsidR="004F6B73" w:rsidRDefault="00687B77">
      <w:pPr>
        <w:spacing w:after="120"/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Сведения о государственном (муниципальном) долге </w:t>
      </w:r>
      <w:hyperlink r:id="rId17">
        <w:r>
          <w:rPr>
            <w:rStyle w:val="a4"/>
            <w:rFonts w:ascii="Calibri" w:eastAsia="Calibri" w:hAnsi="Calibri" w:cs="Calibri"/>
            <w:b/>
            <w:i/>
            <w:color w:val="000000"/>
            <w:sz w:val="28"/>
            <w:szCs w:val="28"/>
            <w:u w:val="none"/>
          </w:rPr>
          <w:t>(ф. 0503172</w:t>
        </w:r>
      </w:hyperlink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Государственный долг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01.01.2026 составил 76 502,9 млн рублей (77,6% к налоговым и неналоговым доходам), 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к 2025 году на 45,6 % (23 975,0 млн рублей), с учетом послаблений, предусмотренных бюджетным законодательством Российской Федерации, на задолженность по ИБК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КИКам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расходов на поддержку СВО и Приморск (7 521,5 млн. рублей) государственный долг составил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68 981,4 млн. рублей (70% к налоговым и неналоговым доходам).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Увеличение объема государственного долга Мурманской области по состоянию на 01.01.2026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обусловлено привлечением в 2025 году в большем объеме коммерческих кредитов (по состоянию на 01.01.2025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долженность по коммерческим кредитам составляла 33 460,0 млн рублей, по состоянию на 01.01.2026 – 56 310,0 млн рублей). 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государственного долга на 01.01.2026, всего 76 502,9 млн рублей, в том числе: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коммерческий долг – 56 310,0 млн рублей (73,6 %), 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бюджетные кредиты – 18 592,9 млн рублей (24,3%);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гарантия Мурманской области – 1 600,0 млн рублей (2,1%).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4F6B73" w:rsidRDefault="00687B77">
      <w:pPr>
        <w:ind w:firstLine="540"/>
        <w:jc w:val="right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Сведения о доходах бюджета от перечисления части прибыли (дивидендов)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государственных (муниципальных) унитарных предприятий, иных организаций с государственным участием в капитале (ф. 0503174) (далее Сведения ф. 0503174)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задолженности ГОУСП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Тулома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по перечислению в доход бюджета части прибыли, оставшейся после уплат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налогов и иных обязательных платежей государственными (муниципальными) унитарными предприятиями, на 01.01.2026 года составила 4 168,47 млн рублей. 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Сведения о принятых и неисполненных обязательствах (ф.0503175)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Основными причинами неисполнения бюджетн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ых обязательств являются несвоевременное представление исполнителями работ и услуг документов по расчетам, неисполнение контрагентами обязательств по контрактам (договорам) о поставке товаров, выполнении работ, оказании услуг, а также перечисление субсидий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иные цели по фактической потребности.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4F6B73" w:rsidRDefault="00687B77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Сведения об остатках денежных средств на счетах получателей бюджетных средств (ф. 0503178)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конец отчетного периода остатки средств на счетах в органе Федерального казначейства во временном распоряжении   увел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ичились и составили 76 903,25 млн рублей. 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Денежные средства на счетах в кредитных организациях у администраторов средств областного бюджета отсутствуют.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 xml:space="preserve">Сведения о вложениях в объекты недвижимого имущества, объектах незавершенного строительства </w:t>
      </w:r>
      <w:hyperlink r:id="rId18">
        <w:r>
          <w:rPr>
            <w:rStyle w:val="a4"/>
            <w:rFonts w:ascii="Calibri" w:eastAsia="Calibri" w:hAnsi="Calibri" w:cs="Calibri"/>
            <w:b/>
            <w:i/>
            <w:color w:val="000000"/>
            <w:sz w:val="28"/>
            <w:szCs w:val="28"/>
            <w:u w:val="none"/>
          </w:rPr>
          <w:t>(ф. 0503190)</w:t>
        </w:r>
      </w:hyperlink>
      <w:hyperlink r:id="rId19">
        <w:r>
          <w:rPr>
            <w:rStyle w:val="a4"/>
            <w:rFonts w:ascii="Calibri" w:eastAsia="Calibri" w:hAnsi="Calibri" w:cs="Calibri"/>
            <w:b/>
            <w:i/>
            <w:color w:val="000000"/>
            <w:sz w:val="28"/>
            <w:szCs w:val="28"/>
            <w:u w:val="none"/>
          </w:rPr>
          <w:t xml:space="preserve"> (далее – Сведения (ф. 0503190</w:t>
        </w:r>
      </w:hyperlink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</w:p>
    <w:p w:rsidR="004F6B73" w:rsidRDefault="00687B77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Сведениях ф. 00503190 раскрывается информация об имеющихся на отчетную дату объектах незавершенного строительства, а также о сформированных на отчетную дату вложениях в объекты недвижимого имущества, источник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финансового обеспечения которых являлись средства бюджета субъекта РФ.</w:t>
      </w:r>
    </w:p>
    <w:p w:rsidR="004F6B73" w:rsidRDefault="00687B77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Показатели строки 600 «Итого» Сведений ф. 0503190, сформированные в графах 17 «Фактические расходы на начало года» и 20 «Фактические расходы на конец года» соответствуют показателям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строки 071 графам 4, 11 раздела 1 «Нефинансовые активы» Сведений о движении нефинансовых активов (ф. 0503168).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    </w:t>
      </w:r>
    </w:p>
    <w:p w:rsidR="004F6B73" w:rsidRDefault="00687B77">
      <w:pPr>
        <w:ind w:firstLine="54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5.  Прочие вопросы деятельности субъекта бюджетной отчетности.</w:t>
      </w:r>
    </w:p>
    <w:p w:rsidR="004F6B73" w:rsidRDefault="00687B77">
      <w:pPr>
        <w:ind w:firstLine="54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составе раздела представлены следующие формы:</w:t>
      </w:r>
    </w:p>
    <w:p w:rsidR="004F6B73" w:rsidRDefault="00687B77">
      <w:pPr>
        <w:ind w:firstLine="54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оведении инвентаризаций </w:t>
      </w:r>
      <w:hyperlink r:id="rId20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</w:rPr>
          <w:t>(Таблица № 6)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F6B73" w:rsidRDefault="00687B77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об исполнении судебных решений по денежным обязательствам бюджета </w:t>
      </w:r>
      <w:hyperlink r:id="rId21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</w:rPr>
          <w:t>(ф. 0503296)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об использовании средств Резервного фонда Мурманской области;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об использовании бюджетных ассигнований Дорожного фонда Мурманской области;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об использовании бюджетных ассигнований резервного фонда Правительства Мурманской области;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 предоставлении и погашении бюджетных кредитов юридическими лицам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 предоставлении и погашении бюджетных кредитов муниципальными образованиями;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 представленных государственных гарантиях;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 внутренних заимствованиях Мурманской области по видам заимствований;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 состоянии внутреннего долга Мурман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области на первый и последний день отчетного года.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Перечень форм бюджетной отчетности не имеющих числовых значений: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об исполнении мероприятий в рамках целевых программ (ф.0503166);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целевых иностранных кредитах (ф.0503167);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об изменении остатков валюты баланса (средства во временном распоряжении) (ф.0503173СВ);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Сведения об остатках денежных средств на счетах получателя бюджетных средств (</w:t>
      </w:r>
      <w:hyperlink r:id="rId22" w:anchor="block_503178">
        <w:r>
          <w:rPr>
            <w:rStyle w:val="a4"/>
            <w:rFonts w:ascii="Calibri" w:eastAsia="Calibri" w:hAnsi="Calibri" w:cs="Calibri"/>
            <w:color w:val="000000"/>
            <w:sz w:val="28"/>
            <w:szCs w:val="28"/>
            <w:u w:val="none"/>
            <w:shd w:val="clear" w:color="auto" w:fill="FFFFFF"/>
          </w:rPr>
          <w:t>ф. 0503178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по банковским счетам, открытым в кредитных организациях. 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Справка по консолидируемым расчетам (ф. 0503125) по счетам:</w:t>
      </w:r>
    </w:p>
    <w:p w:rsidR="004F6B73" w:rsidRDefault="00687B77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1 205 61 000, 1 206 51 000, 1 206 61 000, 1 206 61 561, 1 206 61 661, 1 207 21 000, 1 207 21 541, 1 207 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641,  1 207 31 000, 1 207 31 541, 1 207 31 641, 1 301 12 000, 1 301 12 710,  1 301 12 810, 1 301 13 000, 1 301 13 710, 1 301 13 810, 1 302 51 000,  1 401 10 189, 1 401 20 261.</w:t>
      </w:r>
    </w:p>
    <w:p w:rsidR="004F6B73" w:rsidRDefault="00687B77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4F6B73" w:rsidRDefault="00687B77">
      <w:r>
        <w:t> </w:t>
      </w:r>
    </w:p>
    <w:p w:rsidR="004F6B73" w:rsidRDefault="00687B7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3028"/>
      </w:tblGrid>
      <w:tr w:rsidR="004F6B73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Е.Н. Вигандт</w:t>
            </w:r>
          </w:p>
        </w:tc>
      </w:tr>
      <w:tr w:rsidR="004F6B73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4F6B73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6B73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4F6B73">
            <w:pPr>
              <w:rPr>
                <w:sz w:val="24"/>
              </w:rPr>
            </w:pPr>
          </w:p>
        </w:tc>
      </w:tr>
      <w:tr w:rsidR="004F6B73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4F6B73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4F6B73">
            <w:pPr>
              <w:rPr>
                <w:sz w:val="24"/>
              </w:rPr>
            </w:pPr>
          </w:p>
        </w:tc>
      </w:tr>
      <w:tr w:rsidR="004F6B73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Дермелева Ольга Владиславовна</w:t>
            </w:r>
          </w:p>
        </w:tc>
      </w:tr>
      <w:tr w:rsidR="004F6B73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4F6B73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687B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4F6B73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B73" w:rsidRDefault="004F6B73">
            <w:pPr>
              <w:rPr>
                <w:sz w:val="24"/>
              </w:rPr>
            </w:pPr>
          </w:p>
        </w:tc>
      </w:tr>
    </w:tbl>
    <w:p w:rsidR="004F6B73" w:rsidRDefault="00687B77"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      </w:t>
      </w:r>
    </w:p>
    <w:sectPr w:rsidR="004F6B73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A2A7BC"/>
    <w:multiLevelType w:val="hybridMultilevel"/>
    <w:tmpl w:val="176856C6"/>
    <w:lvl w:ilvl="0" w:tplc="5123D379">
      <w:start w:val="1"/>
      <w:numFmt w:val="decimal"/>
      <w:lvlText w:val="%1."/>
      <w:lvlJc w:val="left"/>
      <w:pPr>
        <w:ind w:left="720" w:hanging="360"/>
      </w:pPr>
    </w:lvl>
    <w:lvl w:ilvl="1" w:tplc="48799AE5">
      <w:start w:val="2"/>
      <w:numFmt w:val="decimal"/>
      <w:lvlText w:val="%2."/>
      <w:lvlJc w:val="left"/>
      <w:pPr>
        <w:ind w:left="1440" w:hanging="360"/>
      </w:pPr>
    </w:lvl>
    <w:lvl w:ilvl="2" w:tplc="49974252">
      <w:start w:val="1"/>
      <w:numFmt w:val="decimal"/>
      <w:lvlText w:val="%3."/>
      <w:lvlJc w:val="left"/>
      <w:pPr>
        <w:ind w:left="2160" w:hanging="360"/>
      </w:pPr>
    </w:lvl>
    <w:lvl w:ilvl="3" w:tplc="3E843BB2">
      <w:start w:val="1"/>
      <w:numFmt w:val="decimal"/>
      <w:lvlText w:val="%4."/>
      <w:lvlJc w:val="left"/>
      <w:pPr>
        <w:ind w:left="2880" w:hanging="360"/>
      </w:pPr>
    </w:lvl>
    <w:lvl w:ilvl="4" w:tplc="59E15B56">
      <w:start w:val="1"/>
      <w:numFmt w:val="decimal"/>
      <w:lvlText w:val="%5."/>
      <w:lvlJc w:val="left"/>
      <w:pPr>
        <w:ind w:left="3600" w:hanging="360"/>
      </w:pPr>
    </w:lvl>
    <w:lvl w:ilvl="5" w:tplc="49571529">
      <w:start w:val="1"/>
      <w:numFmt w:val="decimal"/>
      <w:lvlText w:val="%6."/>
      <w:lvlJc w:val="left"/>
      <w:pPr>
        <w:ind w:left="4320" w:hanging="360"/>
      </w:pPr>
    </w:lvl>
    <w:lvl w:ilvl="6" w:tplc="04397684">
      <w:start w:val="1"/>
      <w:numFmt w:val="decimal"/>
      <w:lvlText w:val="%7."/>
      <w:lvlJc w:val="left"/>
      <w:pPr>
        <w:ind w:left="5040" w:hanging="360"/>
      </w:pPr>
    </w:lvl>
    <w:lvl w:ilvl="7" w:tplc="591DF6B7">
      <w:start w:val="1"/>
      <w:numFmt w:val="decimal"/>
      <w:lvlText w:val="%8."/>
      <w:lvlJc w:val="left"/>
      <w:pPr>
        <w:ind w:left="5760" w:hanging="360"/>
      </w:pPr>
    </w:lvl>
    <w:lvl w:ilvl="8" w:tplc="1E5C45B6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4B0FF1F9"/>
    <w:multiLevelType w:val="hybridMultilevel"/>
    <w:tmpl w:val="6816888C"/>
    <w:lvl w:ilvl="0" w:tplc="641DAD14">
      <w:start w:val="2"/>
      <w:numFmt w:val="decimal"/>
      <w:lvlText w:val="%1."/>
      <w:lvlJc w:val="left"/>
      <w:pPr>
        <w:ind w:left="720" w:hanging="360"/>
      </w:pPr>
    </w:lvl>
    <w:lvl w:ilvl="1" w:tplc="77678C12">
      <w:start w:val="1"/>
      <w:numFmt w:val="decimal"/>
      <w:lvlText w:val="%2."/>
      <w:lvlJc w:val="left"/>
      <w:pPr>
        <w:ind w:left="1440" w:hanging="360"/>
      </w:pPr>
    </w:lvl>
    <w:lvl w:ilvl="2" w:tplc="111C672F">
      <w:start w:val="1"/>
      <w:numFmt w:val="decimal"/>
      <w:lvlText w:val="%3."/>
      <w:lvlJc w:val="left"/>
      <w:pPr>
        <w:ind w:left="2160" w:hanging="360"/>
      </w:pPr>
    </w:lvl>
    <w:lvl w:ilvl="3" w:tplc="1129E931">
      <w:start w:val="1"/>
      <w:numFmt w:val="decimal"/>
      <w:lvlText w:val="%4."/>
      <w:lvlJc w:val="left"/>
      <w:pPr>
        <w:ind w:left="2880" w:hanging="360"/>
      </w:pPr>
    </w:lvl>
    <w:lvl w:ilvl="4" w:tplc="7FCAD894">
      <w:start w:val="1"/>
      <w:numFmt w:val="decimal"/>
      <w:lvlText w:val="%5."/>
      <w:lvlJc w:val="left"/>
      <w:pPr>
        <w:ind w:left="3600" w:hanging="360"/>
      </w:pPr>
    </w:lvl>
    <w:lvl w:ilvl="5" w:tplc="56557E9F">
      <w:start w:val="1"/>
      <w:numFmt w:val="decimal"/>
      <w:lvlText w:val="%6."/>
      <w:lvlJc w:val="left"/>
      <w:pPr>
        <w:ind w:left="4320" w:hanging="360"/>
      </w:pPr>
    </w:lvl>
    <w:lvl w:ilvl="6" w:tplc="63ABCE42">
      <w:start w:val="1"/>
      <w:numFmt w:val="decimal"/>
      <w:lvlText w:val="%7."/>
      <w:lvlJc w:val="left"/>
      <w:pPr>
        <w:ind w:left="5040" w:hanging="360"/>
      </w:pPr>
    </w:lvl>
    <w:lvl w:ilvl="7" w:tplc="64B5D666">
      <w:start w:val="1"/>
      <w:numFmt w:val="decimal"/>
      <w:lvlText w:val="%8."/>
      <w:lvlJc w:val="left"/>
      <w:pPr>
        <w:ind w:left="5760" w:hanging="360"/>
      </w:pPr>
    </w:lvl>
    <w:lvl w:ilvl="8" w:tplc="4A913D74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5A3236CC"/>
    <w:multiLevelType w:val="hybridMultilevel"/>
    <w:tmpl w:val="8E445C5E"/>
    <w:lvl w:ilvl="0" w:tplc="75F1B1E4">
      <w:start w:val="1"/>
      <w:numFmt w:val="decimal"/>
      <w:lvlText w:val="%1."/>
      <w:lvlJc w:val="left"/>
      <w:pPr>
        <w:ind w:left="720" w:hanging="360"/>
      </w:pPr>
    </w:lvl>
    <w:lvl w:ilvl="1" w:tplc="5242631B">
      <w:start w:val="1"/>
      <w:numFmt w:val="decimal"/>
      <w:lvlText w:val="%2."/>
      <w:lvlJc w:val="left"/>
      <w:pPr>
        <w:ind w:left="1440" w:hanging="360"/>
      </w:pPr>
    </w:lvl>
    <w:lvl w:ilvl="2" w:tplc="092AAC62">
      <w:start w:val="1"/>
      <w:numFmt w:val="decimal"/>
      <w:lvlText w:val="%3."/>
      <w:lvlJc w:val="left"/>
      <w:pPr>
        <w:ind w:left="2160" w:hanging="360"/>
      </w:pPr>
    </w:lvl>
    <w:lvl w:ilvl="3" w:tplc="61C04F02">
      <w:start w:val="1"/>
      <w:numFmt w:val="decimal"/>
      <w:lvlText w:val="%4."/>
      <w:lvlJc w:val="left"/>
      <w:pPr>
        <w:ind w:left="2880" w:hanging="360"/>
      </w:pPr>
    </w:lvl>
    <w:lvl w:ilvl="4" w:tplc="47DABF1E">
      <w:start w:val="1"/>
      <w:numFmt w:val="decimal"/>
      <w:lvlText w:val="%5."/>
      <w:lvlJc w:val="left"/>
      <w:pPr>
        <w:ind w:left="3600" w:hanging="360"/>
      </w:pPr>
    </w:lvl>
    <w:lvl w:ilvl="5" w:tplc="5326BDEA">
      <w:start w:val="1"/>
      <w:numFmt w:val="decimal"/>
      <w:lvlText w:val="%6."/>
      <w:lvlJc w:val="left"/>
      <w:pPr>
        <w:ind w:left="4320" w:hanging="360"/>
      </w:pPr>
    </w:lvl>
    <w:lvl w:ilvl="6" w:tplc="194FA254">
      <w:start w:val="1"/>
      <w:numFmt w:val="decimal"/>
      <w:lvlText w:val="%7."/>
      <w:lvlJc w:val="left"/>
      <w:pPr>
        <w:ind w:left="5040" w:hanging="360"/>
      </w:pPr>
    </w:lvl>
    <w:lvl w:ilvl="7" w:tplc="3F606F19">
      <w:start w:val="1"/>
      <w:numFmt w:val="decimal"/>
      <w:lvlText w:val="%8."/>
      <w:lvlJc w:val="left"/>
      <w:pPr>
        <w:ind w:left="5760" w:hanging="360"/>
      </w:pPr>
    </w:lvl>
    <w:lvl w:ilvl="8" w:tplc="399CA28C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6F26F01B"/>
    <w:multiLevelType w:val="hybridMultilevel"/>
    <w:tmpl w:val="0A420190"/>
    <w:lvl w:ilvl="0" w:tplc="3C1A7ED5">
      <w:start w:val="3"/>
      <w:numFmt w:val="decimal"/>
      <w:lvlText w:val="%1."/>
      <w:lvlJc w:val="left"/>
      <w:pPr>
        <w:ind w:left="720" w:hanging="360"/>
      </w:pPr>
    </w:lvl>
    <w:lvl w:ilvl="1" w:tplc="353D73AC">
      <w:start w:val="1"/>
      <w:numFmt w:val="decimal"/>
      <w:lvlText w:val="%2."/>
      <w:lvlJc w:val="left"/>
      <w:pPr>
        <w:ind w:left="1440" w:hanging="360"/>
      </w:pPr>
    </w:lvl>
    <w:lvl w:ilvl="2" w:tplc="376F653B">
      <w:start w:val="1"/>
      <w:numFmt w:val="decimal"/>
      <w:lvlText w:val="%3."/>
      <w:lvlJc w:val="left"/>
      <w:pPr>
        <w:ind w:left="2160" w:hanging="360"/>
      </w:pPr>
    </w:lvl>
    <w:lvl w:ilvl="3" w:tplc="54116CD5">
      <w:start w:val="1"/>
      <w:numFmt w:val="decimal"/>
      <w:lvlText w:val="%4."/>
      <w:lvlJc w:val="left"/>
      <w:pPr>
        <w:ind w:left="2880" w:hanging="360"/>
      </w:pPr>
    </w:lvl>
    <w:lvl w:ilvl="4" w:tplc="6B37AEF4">
      <w:start w:val="1"/>
      <w:numFmt w:val="decimal"/>
      <w:lvlText w:val="%5."/>
      <w:lvlJc w:val="left"/>
      <w:pPr>
        <w:ind w:left="3600" w:hanging="360"/>
      </w:pPr>
    </w:lvl>
    <w:lvl w:ilvl="5" w:tplc="65715750">
      <w:start w:val="1"/>
      <w:numFmt w:val="decimal"/>
      <w:lvlText w:val="%6."/>
      <w:lvlJc w:val="left"/>
      <w:pPr>
        <w:ind w:left="4320" w:hanging="360"/>
      </w:pPr>
    </w:lvl>
    <w:lvl w:ilvl="6" w:tplc="4F34A188">
      <w:start w:val="1"/>
      <w:numFmt w:val="decimal"/>
      <w:lvlText w:val="%7."/>
      <w:lvlJc w:val="left"/>
      <w:pPr>
        <w:ind w:left="5040" w:hanging="360"/>
      </w:pPr>
    </w:lvl>
    <w:lvl w:ilvl="7" w:tplc="520DBF38">
      <w:start w:val="1"/>
      <w:numFmt w:val="decimal"/>
      <w:lvlText w:val="%8."/>
      <w:lvlJc w:val="left"/>
      <w:pPr>
        <w:ind w:left="5760" w:hanging="360"/>
      </w:pPr>
    </w:lvl>
    <w:lvl w:ilvl="8" w:tplc="34CF59ED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7FE422A8"/>
    <w:multiLevelType w:val="hybridMultilevel"/>
    <w:tmpl w:val="D432FAB4"/>
    <w:lvl w:ilvl="0" w:tplc="549031AA">
      <w:start w:val="4"/>
      <w:numFmt w:val="decimal"/>
      <w:lvlText w:val="%1."/>
      <w:lvlJc w:val="left"/>
      <w:pPr>
        <w:ind w:left="720" w:hanging="360"/>
      </w:pPr>
    </w:lvl>
    <w:lvl w:ilvl="1" w:tplc="1CA84705">
      <w:start w:val="1"/>
      <w:numFmt w:val="decimal"/>
      <w:lvlText w:val="%2."/>
      <w:lvlJc w:val="left"/>
      <w:pPr>
        <w:ind w:left="1440" w:hanging="360"/>
      </w:pPr>
    </w:lvl>
    <w:lvl w:ilvl="2" w:tplc="5D30CE09">
      <w:start w:val="1"/>
      <w:numFmt w:val="decimal"/>
      <w:lvlText w:val="%3."/>
      <w:lvlJc w:val="left"/>
      <w:pPr>
        <w:ind w:left="2160" w:hanging="360"/>
      </w:pPr>
    </w:lvl>
    <w:lvl w:ilvl="3" w:tplc="416ED212">
      <w:start w:val="1"/>
      <w:numFmt w:val="decimal"/>
      <w:lvlText w:val="%4."/>
      <w:lvlJc w:val="left"/>
      <w:pPr>
        <w:ind w:left="2880" w:hanging="360"/>
      </w:pPr>
    </w:lvl>
    <w:lvl w:ilvl="4" w:tplc="74E633DF">
      <w:start w:val="1"/>
      <w:numFmt w:val="decimal"/>
      <w:lvlText w:val="%5."/>
      <w:lvlJc w:val="left"/>
      <w:pPr>
        <w:ind w:left="3600" w:hanging="360"/>
      </w:pPr>
    </w:lvl>
    <w:lvl w:ilvl="5" w:tplc="24CB87CC">
      <w:start w:val="1"/>
      <w:numFmt w:val="decimal"/>
      <w:lvlText w:val="%6."/>
      <w:lvlJc w:val="left"/>
      <w:pPr>
        <w:ind w:left="4320" w:hanging="360"/>
      </w:pPr>
    </w:lvl>
    <w:lvl w:ilvl="6" w:tplc="56C9C561">
      <w:start w:val="1"/>
      <w:numFmt w:val="decimal"/>
      <w:lvlText w:val="%7."/>
      <w:lvlJc w:val="left"/>
      <w:pPr>
        <w:ind w:left="5040" w:hanging="360"/>
      </w:pPr>
    </w:lvl>
    <w:lvl w:ilvl="7" w:tplc="38F8A1EF">
      <w:start w:val="1"/>
      <w:numFmt w:val="decimal"/>
      <w:lvlText w:val="%8."/>
      <w:lvlJc w:val="left"/>
      <w:pPr>
        <w:ind w:left="5760" w:hanging="360"/>
      </w:pPr>
    </w:lvl>
    <w:lvl w:ilvl="8" w:tplc="3CBC778B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B73"/>
    <w:rsid w:val="004F6B73"/>
    <w:rsid w:val="0068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413521-78B0-433A-B34C-ED118157E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5AECAD5C774A2940F720856573884B59F%20%20052547F3069AA8AD9F15E3F424AD1A3BD09642AD4776FP0W8P" TargetMode="External"/><Relationship Id="rId13" Type="http://schemas.openxmlformats.org/officeDocument/2006/relationships/hyperlink" Target="consultantplus://offline/ref=1AE39AA61C6E1F557AED3BCB47B31DE2AEFB893706308DEA31DFF44D629B09A7A2B238B2388AD780OFQFP" TargetMode="External"/><Relationship Id="rId18" Type="http://schemas.openxmlformats.org/officeDocument/2006/relationships/hyperlink" Target="consultantplus://offline/ref=D7E2B9A9F1138D3A420AC000B0FED4AE9E97AAE587A2D54E6B232344BCB1DFAEC892B90B1ADAFCtAH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8F7B10B411C091444BE85F171C5865E9C6625321C2A2AA216357A41BA2818CBF12686BD1F245E853CCD2A326F717CE4C3FE8AED3180M1P3L" TargetMode="External"/><Relationship Id="rId7" Type="http://schemas.openxmlformats.org/officeDocument/2006/relationships/hyperlink" Target="consultantplus://offline/ref=B85D25E6B13A5D0B1A4A1F80AA22E78C205E19F5A2517850C66A6B410FD247C5DFD0426BC68EF5AE88FCAF388D868C8076A4C9BEE6C27BF6xFr8M" TargetMode="External"/><Relationship Id="rId12" Type="http://schemas.openxmlformats.org/officeDocument/2006/relationships/hyperlink" Target="consultantplus://offline/ref=B95AECAD5C774A2940F720856573884B59F%20%20052547F3069AA8AD9F15E3F424AD1A3BD09642AD4746EP0W2P" TargetMode="External"/><Relationship Id="rId17" Type="http://schemas.openxmlformats.org/officeDocument/2006/relationships/hyperlink" Target="consultantplus://offline/ref=1AE39AA61C6E1F557AED3BCB47B31DE2AEFB893706308DEA31DFF44D629B09A7A2B238B2388AD683OFQ4P" TargetMode="External"/><Relationship Id="rId25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consultantplus://offline/ref=F45025E39BD1D983561919ED0295A457B3FFEAEC61F020780384745772B53F21BD2B4F532E61A350A8E631E38B1BB36EB971564DD2B011ABu04DH" TargetMode="External"/><Relationship Id="rId20" Type="http://schemas.openxmlformats.org/officeDocument/2006/relationships/hyperlink" Target="consultantplus://offline/ref=1AE39AA61C6E1F557AED3BCB47B31DE2AEFB893706308DEA31DFF44D629B09A7A2B238B2388AD785OFQBP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277EAB18EC2AE4CA5DD66E3327F35BC3432DC7DBC64CF52ACF3B81B9F1FEB04CCC6DAB7F5A88B02261C463479D966E7C676783850649FCkFbDN" TargetMode="External"/><Relationship Id="rId11" Type="http://schemas.openxmlformats.org/officeDocument/2006/relationships/hyperlink" Target="consultantplus://offline/ref=1AE39AA61C6E1F557AED3BCB47B31DE2AEFB893706308DEA31DFF44D629B09A7A2B238B2388AD683OFQ4P" TargetMode="External"/><Relationship Id="rId24" Type="http://schemas.openxmlformats.org/officeDocument/2006/relationships/image" Target="media/image2.png"/><Relationship Id="rId5" Type="http://schemas.openxmlformats.org/officeDocument/2006/relationships/hyperlink" Target="https://anticorrmo.gov-murman.ru/" TargetMode="External"/><Relationship Id="rId15" Type="http://schemas.openxmlformats.org/officeDocument/2006/relationships/hyperlink" Target="consultantplus://offline/main?base=LAW;n=109783;fld=134;dst=103004" TargetMode="External"/><Relationship Id="rId23" Type="http://schemas.openxmlformats.org/officeDocument/2006/relationships/image" Target="media/image1.png"/><Relationship Id="rId10" Type="http://schemas.openxmlformats.org/officeDocument/2006/relationships/hyperlink" Target="consultantplus://offline/ref=B95AECAD5C774A2940F720856573884B59F%20%20052547F3069AA8AD9F15E3F424AD1A3BD09642AD4766CP0W9P" TargetMode="External"/><Relationship Id="rId19" Type="http://schemas.openxmlformats.org/officeDocument/2006/relationships/hyperlink" Target="consultantplus://offline/ref=D7E2B9A9F1138D3A420AC000B0FED4AE9E97AAE587A2D54E6B232344BCB1DFAEC892B90B1ADAFCt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5AECAD5C774A2940F720856573884B59F%20%20052547F3069AA8AD9F15E3F424AD1A3BD09642AD4766BP0WFP" TargetMode="External"/><Relationship Id="rId14" Type="http://schemas.openxmlformats.org/officeDocument/2006/relationships/hyperlink" Target="consultantplus://offline/ref=1AE39AA61C6E1F557AED3BCB47B31DE2AEFB893706308DEA31DFF44D629B09A7A2B238B2388AD684OFQ8P" TargetMode="External"/><Relationship Id="rId22" Type="http://schemas.openxmlformats.org/officeDocument/2006/relationships/hyperlink" Target="https://base.garant.ru/12181732/b1c53f47d0bb3a791ad5868c560616f5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7366</Words>
  <Characters>41990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Кичангина О.В.</dc:creator>
  <cp:lastModifiedBy>Кичангина О.В.</cp:lastModifiedBy>
  <cp:revision>2</cp:revision>
  <dcterms:created xsi:type="dcterms:W3CDTF">2026-05-15T11:20:00Z</dcterms:created>
  <dcterms:modified xsi:type="dcterms:W3CDTF">2026-05-15T11:20:00Z</dcterms:modified>
</cp:coreProperties>
</file>